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9284034"/>
        <w:docPartObj>
          <w:docPartGallery w:val="Cover Pages"/>
          <w:docPartUnique/>
        </w:docPartObj>
      </w:sdtPr>
      <w:sdtEndPr/>
      <w:sdtContent>
        <w:p w14:paraId="2B99A539" w14:textId="78E903DB" w:rsidR="000C67CB" w:rsidRDefault="000C67CB">
          <w:r>
            <w:rPr>
              <w:noProof/>
              <w:lang w:eastAsia="en-GB"/>
            </w:rPr>
            <mc:AlternateContent>
              <mc:Choice Requires="wpg">
                <w:drawing>
                  <wp:anchor distT="0" distB="0" distL="114300" distR="114300" simplePos="0" relativeHeight="251662336" behindDoc="0" locked="0" layoutInCell="1" allowOverlap="1" wp14:anchorId="7C2B4EB9" wp14:editId="188D158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0ABC82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14:paraId="406447C2" w14:textId="5A64EF6D" w:rsidR="00814AEE" w:rsidRPr="002831CB" w:rsidRDefault="0099446A" w:rsidP="002831CB">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noProof/>
              <w:lang w:eastAsia="en-GB"/>
            </w:rPr>
            <mc:AlternateContent>
              <mc:Choice Requires="wps">
                <w:drawing>
                  <wp:anchor distT="0" distB="0" distL="114300" distR="114300" simplePos="0" relativeHeight="251659264" behindDoc="0" locked="0" layoutInCell="1" allowOverlap="1" wp14:anchorId="2A256139" wp14:editId="7C77E1B7">
                    <wp:simplePos x="0" y="0"/>
                    <wp:positionH relativeFrom="margin">
                      <wp:align>center</wp:align>
                    </wp:positionH>
                    <wp:positionV relativeFrom="page">
                      <wp:posOffset>1786226</wp:posOffset>
                    </wp:positionV>
                    <wp:extent cx="7315200" cy="2615565"/>
                    <wp:effectExtent l="0" t="0" r="0" b="1333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615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4A7A8" w14:textId="1074148D" w:rsidR="000C67CB" w:rsidRPr="00C806F2" w:rsidRDefault="0045755D">
                                <w:pPr>
                                  <w:jc w:val="right"/>
                                  <w:rPr>
                                    <w:color w:val="365F91" w:themeColor="accent1" w:themeShade="BF"/>
                                    <w:sz w:val="72"/>
                                    <w:szCs w:val="64"/>
                                  </w:rPr>
                                </w:pPr>
                                <w:sdt>
                                  <w:sdtPr>
                                    <w:rPr>
                                      <w:caps/>
                                      <w:color w:val="365F91" w:themeColor="accent1" w:themeShade="BF"/>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7AD8">
                                      <w:rPr>
                                        <w:caps/>
                                        <w:color w:val="365F91" w:themeColor="accent1" w:themeShade="BF"/>
                                        <w:sz w:val="72"/>
                                        <w:szCs w:val="64"/>
                                      </w:rPr>
                                      <w:t>The scottish veterans fund</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10CAD3" w14:textId="48181CC8" w:rsidR="000C67CB" w:rsidRDefault="0099446A">
                                    <w:pPr>
                                      <w:jc w:val="right"/>
                                      <w:rPr>
                                        <w:smallCaps/>
                                        <w:color w:val="404040" w:themeColor="text1" w:themeTint="BF"/>
                                        <w:sz w:val="36"/>
                                        <w:szCs w:val="36"/>
                                      </w:rPr>
                                    </w:pPr>
                                    <w:r>
                                      <w:rPr>
                                        <w:color w:val="404040" w:themeColor="text1" w:themeTint="BF"/>
                                        <w:sz w:val="36"/>
                                        <w:szCs w:val="36"/>
                                      </w:rPr>
                                      <w:t>Application Guidance for 2022/23 Fund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A256139" id="_x0000_t202" coordsize="21600,21600" o:spt="202" path="m,l,21600r21600,l21600,xe">
                    <v:stroke joinstyle="miter"/>
                    <v:path gradientshapeok="t" o:connecttype="rect"/>
                  </v:shapetype>
                  <v:shape id="Text Box 154" o:spid="_x0000_s1026" type="#_x0000_t202" style="position:absolute;margin-left:0;margin-top:140.65pt;width:8in;height:205.9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" filled="f" stroked="f" strokeweight=".5pt">
                    <v:textbox inset="126pt,0,54pt,0">
                      <w:txbxContent>
                        <w:p w14:paraId="5034A7A8" w14:textId="1074148D" w:rsidR="000C67CB" w:rsidRPr="00C806F2" w:rsidRDefault="00B72E2E">
                          <w:pPr>
                            <w:jc w:val="right"/>
                            <w:rPr>
                              <w:color w:val="365F91" w:themeColor="accent1" w:themeShade="BF"/>
                              <w:sz w:val="72"/>
                              <w:szCs w:val="64"/>
                            </w:rPr>
                          </w:pPr>
                          <w:sdt>
                            <w:sdtPr>
                              <w:rPr>
                                <w:caps/>
                                <w:color w:val="365F91" w:themeColor="accent1" w:themeShade="BF"/>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7AD8">
                                <w:rPr>
                                  <w:caps/>
                                  <w:color w:val="365F91" w:themeColor="accent1" w:themeShade="BF"/>
                                  <w:sz w:val="72"/>
                                  <w:szCs w:val="64"/>
                                </w:rPr>
                                <w:t>The scottish veterans fund</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10CAD3" w14:textId="48181CC8" w:rsidR="000C67CB" w:rsidRDefault="0099446A">
                              <w:pPr>
                                <w:jc w:val="right"/>
                                <w:rPr>
                                  <w:smallCaps/>
                                  <w:color w:val="404040" w:themeColor="text1" w:themeTint="BF"/>
                                  <w:sz w:val="36"/>
                                  <w:szCs w:val="36"/>
                                </w:rPr>
                              </w:pPr>
                              <w:r>
                                <w:rPr>
                                  <w:color w:val="404040" w:themeColor="text1" w:themeTint="BF"/>
                                  <w:sz w:val="36"/>
                                  <w:szCs w:val="36"/>
                                </w:rPr>
                                <w:t>Application Guidance for 2022/23 Fund</w:t>
                              </w:r>
                            </w:p>
                          </w:sdtContent>
                        </w:sdt>
                      </w:txbxContent>
                    </v:textbox>
                    <w10:wrap type="square" anchorx="margin" anchory="page"/>
                  </v:shape>
                </w:pict>
              </mc:Fallback>
            </mc:AlternateContent>
          </w:r>
          <w:r w:rsidR="00C806F2">
            <w:rPr>
              <w:b/>
              <w:noProof/>
              <w:color w:val="000080"/>
              <w:sz w:val="40"/>
              <w:szCs w:val="40"/>
              <w:lang w:eastAsia="en-GB"/>
            </w:rPr>
            <w:drawing>
              <wp:anchor distT="0" distB="0" distL="114300" distR="114300" simplePos="0" relativeHeight="251664384" behindDoc="1" locked="0" layoutInCell="1" allowOverlap="1" wp14:anchorId="40F7B5D7" wp14:editId="7A07DFAE">
                <wp:simplePos x="0" y="0"/>
                <wp:positionH relativeFrom="margin">
                  <wp:align>right</wp:align>
                </wp:positionH>
                <wp:positionV relativeFrom="paragraph">
                  <wp:posOffset>8148955</wp:posOffset>
                </wp:positionV>
                <wp:extent cx="2781101" cy="520708"/>
                <wp:effectExtent l="0" t="0" r="635" b="0"/>
                <wp:wrapNone/>
                <wp:docPr id="4" name="Picture 4" descr="C:\Users\n415167\Objective\Objects\SG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415167\Objective\Objects\SG_Master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101" cy="520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7CB">
            <w:br w:type="page"/>
          </w:r>
        </w:p>
      </w:sdtContent>
    </w:sdt>
    <w:p w14:paraId="6221C553" w14:textId="77777777" w:rsidR="00C806F2" w:rsidRDefault="00814AEE" w:rsidP="002831CB">
      <w:pPr>
        <w:pStyle w:val="Default"/>
        <w:rPr>
          <w:color w:val="000080"/>
          <w:sz w:val="40"/>
          <w:szCs w:val="40"/>
        </w:rPr>
      </w:pPr>
      <w:r>
        <w:lastRenderedPageBreak/>
        <w:t xml:space="preserve"> </w:t>
      </w:r>
      <w:r>
        <w:rPr>
          <w:b/>
          <w:bCs/>
          <w:color w:val="FFFFFF"/>
          <w:sz w:val="22"/>
          <w:szCs w:val="22"/>
        </w:rPr>
        <w:t xml:space="preserve">INTRODUCTION </w:t>
      </w:r>
    </w:p>
    <w:p w14:paraId="449BF7EA" w14:textId="77777777" w:rsidR="00814AEE" w:rsidRPr="00C806F2" w:rsidRDefault="00814AEE" w:rsidP="00814AEE">
      <w:pPr>
        <w:pStyle w:val="Heading11"/>
        <w:spacing w:line="240" w:lineRule="auto"/>
        <w:rPr>
          <w:rFonts w:ascii="Arial" w:hAnsi="Arial" w:cs="Arial"/>
          <w:sz w:val="28"/>
          <w:szCs w:val="24"/>
        </w:rPr>
      </w:pPr>
      <w:bookmarkStart w:id="0" w:name="_Toc234205458"/>
      <w:bookmarkStart w:id="1" w:name="_Toc234208457"/>
      <w:r w:rsidRPr="00C806F2">
        <w:rPr>
          <w:rFonts w:ascii="Arial" w:hAnsi="Arial" w:cs="Arial"/>
          <w:sz w:val="28"/>
          <w:szCs w:val="24"/>
        </w:rPr>
        <w:t>Introduction</w:t>
      </w:r>
      <w:bookmarkEnd w:id="0"/>
      <w:bookmarkEnd w:id="1"/>
    </w:p>
    <w:p w14:paraId="2E82A207" w14:textId="77777777" w:rsidR="00814AEE" w:rsidRPr="00C806F2" w:rsidRDefault="00814AEE" w:rsidP="00814AEE">
      <w:pPr>
        <w:pStyle w:val="Default"/>
      </w:pPr>
    </w:p>
    <w:p w14:paraId="648EAE19" w14:textId="77777777" w:rsidR="00780EB0" w:rsidRDefault="00691603" w:rsidP="00B956E6">
      <w:pPr>
        <w:pStyle w:val="Default"/>
        <w:numPr>
          <w:ilvl w:val="0"/>
          <w:numId w:val="15"/>
        </w:numPr>
        <w:ind w:left="426" w:hanging="426"/>
        <w:rPr>
          <w:color w:val="auto"/>
        </w:rPr>
      </w:pPr>
      <w:r w:rsidRPr="00691603">
        <w:rPr>
          <w:color w:val="auto"/>
        </w:rPr>
        <w:t xml:space="preserve">The Scottish Government is clear that no one should suffer disadvantage as a result of military service. </w:t>
      </w:r>
      <w:r w:rsidRPr="007E50AA">
        <w:rPr>
          <w:color w:val="auto"/>
        </w:rPr>
        <w:t>The Scottish Veterans Fund (</w:t>
      </w:r>
      <w:proofErr w:type="spellStart"/>
      <w:r w:rsidRPr="007E50AA">
        <w:rPr>
          <w:color w:val="auto"/>
        </w:rPr>
        <w:t>SVF</w:t>
      </w:r>
      <w:proofErr w:type="spellEnd"/>
      <w:r w:rsidRPr="007E50AA">
        <w:rPr>
          <w:color w:val="auto"/>
        </w:rPr>
        <w:t xml:space="preserve">) was established by the Scottish Government </w:t>
      </w:r>
      <w:r w:rsidR="00C51FB1">
        <w:rPr>
          <w:color w:val="auto"/>
        </w:rPr>
        <w:t xml:space="preserve">in 2008 </w:t>
      </w:r>
      <w:r w:rsidR="00B956E6">
        <w:rPr>
          <w:color w:val="auto"/>
        </w:rPr>
        <w:t>and</w:t>
      </w:r>
      <w:r w:rsidRPr="00B956E6">
        <w:rPr>
          <w:color w:val="auto"/>
        </w:rPr>
        <w:t xml:space="preserve"> has a broad remit to support projects that benefit ex-Service personnel</w:t>
      </w:r>
      <w:r w:rsidR="00B956E6">
        <w:rPr>
          <w:color w:val="auto"/>
        </w:rPr>
        <w:t xml:space="preserve"> and their families</w:t>
      </w:r>
      <w:r w:rsidRPr="00B956E6">
        <w:rPr>
          <w:color w:val="auto"/>
        </w:rPr>
        <w:t xml:space="preserve"> in</w:t>
      </w:r>
      <w:r w:rsidR="00780EB0">
        <w:rPr>
          <w:color w:val="auto"/>
        </w:rPr>
        <w:t xml:space="preserve"> Scotland.</w:t>
      </w:r>
      <w:r w:rsidRPr="00B956E6">
        <w:rPr>
          <w:color w:val="auto"/>
        </w:rPr>
        <w:t xml:space="preserve"> </w:t>
      </w:r>
    </w:p>
    <w:p w14:paraId="50B9E0D4" w14:textId="77777777" w:rsidR="00780EB0" w:rsidRDefault="00780EB0" w:rsidP="00C27A0B">
      <w:pPr>
        <w:pStyle w:val="Default"/>
        <w:ind w:left="426"/>
        <w:rPr>
          <w:color w:val="auto"/>
        </w:rPr>
      </w:pPr>
    </w:p>
    <w:p w14:paraId="05F30680" w14:textId="2A679737" w:rsidR="00814AEE" w:rsidRPr="00780EB0" w:rsidRDefault="001B7749">
      <w:pPr>
        <w:pStyle w:val="Default"/>
        <w:numPr>
          <w:ilvl w:val="0"/>
          <w:numId w:val="15"/>
        </w:numPr>
        <w:ind w:left="426" w:hanging="426"/>
        <w:rPr>
          <w:color w:val="auto"/>
        </w:rPr>
      </w:pPr>
      <w:r>
        <w:rPr>
          <w:color w:val="auto"/>
        </w:rPr>
        <w:t xml:space="preserve">The </w:t>
      </w:r>
      <w:proofErr w:type="spellStart"/>
      <w:r>
        <w:rPr>
          <w:color w:val="auto"/>
        </w:rPr>
        <w:t>SVF</w:t>
      </w:r>
      <w:proofErr w:type="spellEnd"/>
      <w:r>
        <w:rPr>
          <w:color w:val="auto"/>
        </w:rPr>
        <w:t xml:space="preserve"> is </w:t>
      </w:r>
      <w:r w:rsidR="00780EB0" w:rsidRPr="00780EB0">
        <w:rPr>
          <w:color w:val="auto"/>
        </w:rPr>
        <w:t>par</w:t>
      </w:r>
      <w:r w:rsidR="00691603" w:rsidRPr="00780EB0">
        <w:rPr>
          <w:color w:val="auto"/>
        </w:rPr>
        <w:t xml:space="preserve">ticularly </w:t>
      </w:r>
      <w:r w:rsidR="00780EB0" w:rsidRPr="00780EB0">
        <w:rPr>
          <w:color w:val="auto"/>
        </w:rPr>
        <w:t xml:space="preserve">aimed at </w:t>
      </w:r>
      <w:r w:rsidR="00691603" w:rsidRPr="00780EB0">
        <w:rPr>
          <w:color w:val="auto"/>
        </w:rPr>
        <w:t xml:space="preserve">those </w:t>
      </w:r>
      <w:r w:rsidR="00780EB0" w:rsidRPr="00780EB0">
        <w:rPr>
          <w:color w:val="auto"/>
        </w:rPr>
        <w:t xml:space="preserve">projects </w:t>
      </w:r>
      <w:r w:rsidR="00691603" w:rsidRPr="00780EB0">
        <w:rPr>
          <w:color w:val="auto"/>
        </w:rPr>
        <w:t xml:space="preserve">that will help </w:t>
      </w:r>
      <w:r w:rsidR="00B956E6" w:rsidRPr="00780EB0">
        <w:rPr>
          <w:color w:val="auto"/>
        </w:rPr>
        <w:t xml:space="preserve">the </w:t>
      </w:r>
      <w:r w:rsidR="00691603" w:rsidRPr="00780EB0">
        <w:rPr>
          <w:color w:val="auto"/>
        </w:rPr>
        <w:t>veterans</w:t>
      </w:r>
      <w:r w:rsidR="00B956E6" w:rsidRPr="00780EB0">
        <w:rPr>
          <w:color w:val="auto"/>
        </w:rPr>
        <w:t xml:space="preserve"> community</w:t>
      </w:r>
      <w:r w:rsidR="00691603" w:rsidRPr="00780EB0">
        <w:rPr>
          <w:color w:val="auto"/>
        </w:rPr>
        <w:t xml:space="preserve"> to overcome any disadvantage experienced as a result of service</w:t>
      </w:r>
      <w:r w:rsidR="00615533">
        <w:rPr>
          <w:color w:val="auto"/>
        </w:rPr>
        <w:t>;</w:t>
      </w:r>
      <w:r w:rsidR="00780EB0" w:rsidRPr="00780EB0">
        <w:rPr>
          <w:color w:val="auto"/>
        </w:rPr>
        <w:t xml:space="preserve"> </w:t>
      </w:r>
      <w:r w:rsidR="00780EB0">
        <w:rPr>
          <w:color w:val="auto"/>
        </w:rPr>
        <w:t>those</w:t>
      </w:r>
      <w:r w:rsidR="00814AEE" w:rsidRPr="00780EB0">
        <w:rPr>
          <w:color w:val="auto"/>
        </w:rPr>
        <w:t xml:space="preserve"> support</w:t>
      </w:r>
      <w:r w:rsidR="00780EB0">
        <w:rPr>
          <w:color w:val="auto"/>
        </w:rPr>
        <w:t>ing</w:t>
      </w:r>
      <w:r w:rsidR="00814AEE" w:rsidRPr="00780EB0">
        <w:rPr>
          <w:color w:val="auto"/>
        </w:rPr>
        <w:t xml:space="preserve"> veterans and their families to achieve a successful transition to civilian life</w:t>
      </w:r>
      <w:r w:rsidR="00615533">
        <w:rPr>
          <w:color w:val="auto"/>
        </w:rPr>
        <w:t>; and projects</w:t>
      </w:r>
      <w:r w:rsidR="00780EB0">
        <w:rPr>
          <w:color w:val="auto"/>
        </w:rPr>
        <w:t xml:space="preserve"> that </w:t>
      </w:r>
      <w:r w:rsidR="00814AEE" w:rsidRPr="00780EB0">
        <w:rPr>
          <w:color w:val="auto"/>
        </w:rPr>
        <w:t>aim to make Scotland the most attractive place to be for those leaving Service life.</w:t>
      </w:r>
    </w:p>
    <w:p w14:paraId="574D1C0A" w14:textId="77777777" w:rsidR="00814AEE" w:rsidRPr="00C806F2" w:rsidRDefault="00814AEE" w:rsidP="002F68EE">
      <w:pPr>
        <w:pStyle w:val="Default"/>
        <w:ind w:left="426" w:hanging="426"/>
        <w:rPr>
          <w:color w:val="auto"/>
        </w:rPr>
      </w:pPr>
    </w:p>
    <w:p w14:paraId="443986AC" w14:textId="0135BDCB" w:rsidR="00814AEE" w:rsidRPr="00C806F2" w:rsidRDefault="00814AEE" w:rsidP="002F68EE">
      <w:pPr>
        <w:pStyle w:val="Default"/>
        <w:numPr>
          <w:ilvl w:val="0"/>
          <w:numId w:val="15"/>
        </w:numPr>
        <w:ind w:left="426" w:hanging="426"/>
        <w:rPr>
          <w:color w:val="auto"/>
        </w:rPr>
      </w:pPr>
      <w:r w:rsidRPr="00C806F2">
        <w:rPr>
          <w:color w:val="auto"/>
        </w:rPr>
        <w:t xml:space="preserve">In 2017, </w:t>
      </w:r>
      <w:proofErr w:type="spellStart"/>
      <w:r w:rsidR="00CA6A7E">
        <w:rPr>
          <w:color w:val="auto"/>
        </w:rPr>
        <w:t>Abrdn</w:t>
      </w:r>
      <w:proofErr w:type="spellEnd"/>
      <w:r w:rsidR="002F68EE">
        <w:rPr>
          <w:color w:val="auto"/>
        </w:rPr>
        <w:t xml:space="preserve"> (</w:t>
      </w:r>
      <w:r w:rsidR="00CA6A7E">
        <w:rPr>
          <w:color w:val="auto"/>
        </w:rPr>
        <w:t>formerly Standard Life Aberdeen</w:t>
      </w:r>
      <w:r w:rsidR="002F68EE">
        <w:rPr>
          <w:color w:val="auto"/>
        </w:rPr>
        <w:t>)</w:t>
      </w:r>
      <w:r w:rsidRPr="00C806F2">
        <w:rPr>
          <w:color w:val="auto"/>
        </w:rPr>
        <w:t xml:space="preserve"> </w:t>
      </w:r>
      <w:r w:rsidR="002F68EE">
        <w:rPr>
          <w:color w:val="auto"/>
        </w:rPr>
        <w:t>joined with the Scottish Government as a partner in the</w:t>
      </w:r>
      <w:r w:rsidRPr="00C806F2">
        <w:rPr>
          <w:color w:val="auto"/>
        </w:rPr>
        <w:t xml:space="preserve"> </w:t>
      </w:r>
      <w:proofErr w:type="spellStart"/>
      <w:r w:rsidRPr="00C806F2">
        <w:rPr>
          <w:color w:val="auto"/>
        </w:rPr>
        <w:t>SVF</w:t>
      </w:r>
      <w:proofErr w:type="spellEnd"/>
      <w:r w:rsidRPr="00C806F2">
        <w:rPr>
          <w:color w:val="auto"/>
        </w:rPr>
        <w:t xml:space="preserve">, consistent with its commitment to the Armed Forces community as a signatory of the Armed Forces Covenant. </w:t>
      </w:r>
      <w:r w:rsidR="004B1CB0">
        <w:rPr>
          <w:color w:val="auto"/>
        </w:rPr>
        <w:t>They continue to provide advice and support on the process and targeting of the fund and to the award panel.</w:t>
      </w:r>
    </w:p>
    <w:p w14:paraId="6DF0428F" w14:textId="77777777" w:rsidR="00814AEE" w:rsidRPr="00C806F2" w:rsidRDefault="00814AEE" w:rsidP="002F68EE">
      <w:pPr>
        <w:pStyle w:val="Default"/>
        <w:ind w:left="426" w:hanging="426"/>
        <w:rPr>
          <w:color w:val="auto"/>
        </w:rPr>
      </w:pPr>
    </w:p>
    <w:p w14:paraId="35364C21" w14:textId="35482AB0" w:rsidR="00814AEE" w:rsidRPr="001E18FB" w:rsidRDefault="00814AEE" w:rsidP="00C27A0B">
      <w:pPr>
        <w:pStyle w:val="Default"/>
        <w:numPr>
          <w:ilvl w:val="0"/>
          <w:numId w:val="15"/>
        </w:numPr>
        <w:ind w:left="426" w:hanging="426"/>
        <w:rPr>
          <w:color w:val="000000" w:themeColor="text1"/>
        </w:rPr>
      </w:pPr>
      <w:r w:rsidRPr="001E18FB">
        <w:rPr>
          <w:color w:val="000000" w:themeColor="text1"/>
        </w:rPr>
        <w:t xml:space="preserve">The </w:t>
      </w:r>
      <w:proofErr w:type="spellStart"/>
      <w:r w:rsidRPr="001E18FB">
        <w:rPr>
          <w:color w:val="000000" w:themeColor="text1"/>
        </w:rPr>
        <w:t>SVF</w:t>
      </w:r>
      <w:proofErr w:type="spellEnd"/>
      <w:r w:rsidRPr="001E18FB">
        <w:rPr>
          <w:color w:val="000000" w:themeColor="text1"/>
        </w:rPr>
        <w:t xml:space="preserve"> is administered in collaboration with Veterans Scotland who handle receipt of applications and distribution of funds. Decisions on </w:t>
      </w:r>
      <w:r w:rsidR="002F68EE" w:rsidRPr="001E18FB">
        <w:rPr>
          <w:color w:val="000000" w:themeColor="text1"/>
        </w:rPr>
        <w:t xml:space="preserve">which bids receive funding from the </w:t>
      </w:r>
      <w:proofErr w:type="spellStart"/>
      <w:r w:rsidR="002F68EE" w:rsidRPr="001E18FB">
        <w:rPr>
          <w:color w:val="000000" w:themeColor="text1"/>
        </w:rPr>
        <w:t>SVF</w:t>
      </w:r>
      <w:proofErr w:type="spellEnd"/>
      <w:r w:rsidR="002F68EE" w:rsidRPr="001E18FB">
        <w:rPr>
          <w:color w:val="000000" w:themeColor="text1"/>
        </w:rPr>
        <w:t xml:space="preserve"> are made by</w:t>
      </w:r>
      <w:r w:rsidRPr="001E18FB">
        <w:rPr>
          <w:color w:val="000000" w:themeColor="text1"/>
        </w:rPr>
        <w:t xml:space="preserve"> Scottish Ministers</w:t>
      </w:r>
      <w:r w:rsidR="00CA6A7E" w:rsidRPr="001E18FB">
        <w:rPr>
          <w:color w:val="000000" w:themeColor="text1"/>
        </w:rPr>
        <w:t xml:space="preserve">, based </w:t>
      </w:r>
      <w:r w:rsidRPr="001E18FB">
        <w:rPr>
          <w:color w:val="000000" w:themeColor="text1"/>
        </w:rPr>
        <w:t xml:space="preserve">on assessments and recommendations made by the </w:t>
      </w:r>
      <w:proofErr w:type="spellStart"/>
      <w:r w:rsidRPr="001E18FB">
        <w:rPr>
          <w:color w:val="000000" w:themeColor="text1"/>
        </w:rPr>
        <w:t>SVF</w:t>
      </w:r>
      <w:proofErr w:type="spellEnd"/>
      <w:r w:rsidRPr="001E18FB">
        <w:rPr>
          <w:color w:val="000000" w:themeColor="text1"/>
        </w:rPr>
        <w:t xml:space="preserve"> </w:t>
      </w:r>
      <w:r w:rsidR="002F68EE" w:rsidRPr="001E18FB">
        <w:rPr>
          <w:color w:val="000000" w:themeColor="text1"/>
        </w:rPr>
        <w:t>Independent P</w:t>
      </w:r>
      <w:r w:rsidRPr="001E18FB">
        <w:rPr>
          <w:color w:val="000000" w:themeColor="text1"/>
        </w:rPr>
        <w:t xml:space="preserve">anel, which </w:t>
      </w:r>
      <w:r w:rsidR="007610FF" w:rsidRPr="001E18FB">
        <w:rPr>
          <w:color w:val="000000" w:themeColor="text1"/>
        </w:rPr>
        <w:t>is</w:t>
      </w:r>
      <w:r w:rsidRPr="001E18FB">
        <w:rPr>
          <w:color w:val="000000" w:themeColor="text1"/>
        </w:rPr>
        <w:t xml:space="preserve"> selected and chaired by the Scottish Veterans Commissioner.</w:t>
      </w:r>
    </w:p>
    <w:p w14:paraId="7F136247" w14:textId="77777777" w:rsidR="00802D9A" w:rsidRPr="001E18FB" w:rsidRDefault="00802D9A" w:rsidP="00756599">
      <w:pPr>
        <w:pStyle w:val="Default"/>
        <w:ind w:left="426"/>
        <w:rPr>
          <w:color w:val="000000" w:themeColor="text1"/>
        </w:rPr>
      </w:pPr>
    </w:p>
    <w:p w14:paraId="25AE4B42" w14:textId="7FFDEE28" w:rsidR="00802D9A" w:rsidRPr="001E18FB" w:rsidRDefault="00802D9A">
      <w:pPr>
        <w:pStyle w:val="Default"/>
        <w:numPr>
          <w:ilvl w:val="0"/>
          <w:numId w:val="15"/>
        </w:numPr>
        <w:ind w:left="426" w:hanging="426"/>
        <w:rPr>
          <w:color w:val="000000" w:themeColor="text1"/>
        </w:rPr>
      </w:pPr>
      <w:r w:rsidRPr="001E18FB">
        <w:rPr>
          <w:b/>
          <w:bCs/>
          <w:color w:val="000000" w:themeColor="text1"/>
        </w:rPr>
        <w:t>Applications must be received electronically no later than midnight o</w:t>
      </w:r>
      <w:r w:rsidR="00CA6A7E" w:rsidRPr="001E18FB">
        <w:rPr>
          <w:b/>
          <w:bCs/>
          <w:color w:val="000000" w:themeColor="text1"/>
        </w:rPr>
        <w:t>f</w:t>
      </w:r>
      <w:r w:rsidRPr="001E18FB">
        <w:rPr>
          <w:b/>
          <w:bCs/>
          <w:color w:val="000000" w:themeColor="text1"/>
        </w:rPr>
        <w:t xml:space="preserve"> </w:t>
      </w:r>
      <w:r w:rsidR="00CA6A7E" w:rsidRPr="001E18FB">
        <w:rPr>
          <w:b/>
          <w:bCs/>
          <w:color w:val="000000" w:themeColor="text1"/>
        </w:rPr>
        <w:t>12</w:t>
      </w:r>
      <w:r w:rsidRPr="001E18FB">
        <w:rPr>
          <w:b/>
          <w:bCs/>
          <w:color w:val="000000" w:themeColor="text1"/>
        </w:rPr>
        <w:t xml:space="preserve"> November 202</w:t>
      </w:r>
      <w:r w:rsidR="00CA6A7E" w:rsidRPr="001E18FB">
        <w:rPr>
          <w:b/>
          <w:bCs/>
          <w:color w:val="000000" w:themeColor="text1"/>
        </w:rPr>
        <w:t>1</w:t>
      </w:r>
      <w:r w:rsidRPr="001E18FB">
        <w:rPr>
          <w:b/>
          <w:bCs/>
          <w:color w:val="000000" w:themeColor="text1"/>
        </w:rPr>
        <w:t xml:space="preserve"> accompanied by a copy of your Safeguarding Policy. </w:t>
      </w:r>
      <w:r w:rsidRPr="001E18FB">
        <w:rPr>
          <w:color w:val="000000" w:themeColor="text1"/>
        </w:rPr>
        <w:t xml:space="preserve">Applications received after that deadline will not be accepted. The email address for submission is office@veteransscotland.org.uk. If you wish to discuss your application, please contact Veterans Scotland on details provided at paragraph 55. </w:t>
      </w:r>
    </w:p>
    <w:p w14:paraId="2A89FA6B" w14:textId="77777777" w:rsidR="00A85A80" w:rsidRDefault="00A85A80" w:rsidP="00A85A80">
      <w:pPr>
        <w:pStyle w:val="Default"/>
        <w:rPr>
          <w:color w:val="auto"/>
        </w:rPr>
      </w:pPr>
    </w:p>
    <w:p w14:paraId="0A58B3BD" w14:textId="77777777" w:rsidR="00A85A80" w:rsidRPr="00C806F2" w:rsidRDefault="00A85A80" w:rsidP="00A85A80">
      <w:pPr>
        <w:pStyle w:val="Heading11"/>
        <w:spacing w:line="240" w:lineRule="auto"/>
        <w:rPr>
          <w:rFonts w:ascii="Arial" w:hAnsi="Arial" w:cs="Arial"/>
          <w:sz w:val="24"/>
          <w:szCs w:val="24"/>
        </w:rPr>
      </w:pPr>
      <w:r>
        <w:rPr>
          <w:rFonts w:ascii="Arial" w:hAnsi="Arial" w:cs="Arial"/>
          <w:sz w:val="24"/>
          <w:szCs w:val="24"/>
        </w:rPr>
        <w:t>AIMS of the FUND</w:t>
      </w:r>
    </w:p>
    <w:p w14:paraId="07F41D79" w14:textId="77777777" w:rsidR="00A85A80" w:rsidRPr="00C806F2" w:rsidRDefault="00A85A80" w:rsidP="00A85A80">
      <w:pPr>
        <w:pStyle w:val="Default"/>
        <w:rPr>
          <w:color w:val="FFFFFF"/>
        </w:rPr>
      </w:pPr>
      <w:r w:rsidRPr="00C806F2">
        <w:rPr>
          <w:b/>
          <w:bCs/>
          <w:color w:val="FFFFFF"/>
        </w:rPr>
        <w:t xml:space="preserve">ASSESSMENT CRITERIA </w:t>
      </w:r>
    </w:p>
    <w:p w14:paraId="3B1B6D32" w14:textId="2AD6D0B5" w:rsidR="007904B1" w:rsidRPr="00C806F2" w:rsidRDefault="00615533" w:rsidP="00C27A0B">
      <w:pPr>
        <w:pStyle w:val="Default"/>
        <w:numPr>
          <w:ilvl w:val="0"/>
          <w:numId w:val="15"/>
        </w:numPr>
        <w:ind w:left="426" w:hanging="426"/>
        <w:rPr>
          <w:color w:val="auto"/>
        </w:rPr>
      </w:pPr>
      <w:r>
        <w:rPr>
          <w:color w:val="auto"/>
        </w:rPr>
        <w:t xml:space="preserve">Veterans of the </w:t>
      </w:r>
      <w:r w:rsidR="007904B1" w:rsidRPr="00C806F2">
        <w:rPr>
          <w:color w:val="auto"/>
        </w:rPr>
        <w:t>UK Armed Forces</w:t>
      </w:r>
      <w:r w:rsidR="00B956E6">
        <w:rPr>
          <w:color w:val="auto"/>
        </w:rPr>
        <w:t xml:space="preserve"> and their families</w:t>
      </w:r>
      <w:r w:rsidR="007904B1" w:rsidRPr="00C806F2">
        <w:rPr>
          <w:color w:val="auto"/>
        </w:rPr>
        <w:t xml:space="preserve"> resident in Scotland are the intended beneficiaries of this </w:t>
      </w:r>
      <w:proofErr w:type="spellStart"/>
      <w:r w:rsidR="007904B1" w:rsidRPr="00C806F2">
        <w:rPr>
          <w:color w:val="auto"/>
        </w:rPr>
        <w:t>SVF</w:t>
      </w:r>
      <w:proofErr w:type="spellEnd"/>
      <w:r w:rsidR="007904B1" w:rsidRPr="00C806F2">
        <w:rPr>
          <w:color w:val="auto"/>
        </w:rPr>
        <w:t xml:space="preserve"> and the panel’s assessments will consider how well the application meets the criteria outlined below and in its enduring value to </w:t>
      </w:r>
      <w:r w:rsidR="007610FF">
        <w:rPr>
          <w:color w:val="auto"/>
        </w:rPr>
        <w:t xml:space="preserve">the </w:t>
      </w:r>
      <w:r w:rsidR="007904B1" w:rsidRPr="00C806F2">
        <w:rPr>
          <w:color w:val="auto"/>
        </w:rPr>
        <w:t>veterans</w:t>
      </w:r>
      <w:r w:rsidR="007610FF">
        <w:rPr>
          <w:color w:val="auto"/>
        </w:rPr>
        <w:t xml:space="preserve"> community</w:t>
      </w:r>
      <w:r w:rsidR="007904B1" w:rsidRPr="00C806F2">
        <w:rPr>
          <w:color w:val="auto"/>
        </w:rPr>
        <w:t xml:space="preserve">. The Scottish Government applies the existing Ministry of Defence definition of </w:t>
      </w:r>
      <w:r w:rsidR="00CC284E">
        <w:rPr>
          <w:color w:val="auto"/>
        </w:rPr>
        <w:t xml:space="preserve">a </w:t>
      </w:r>
      <w:r w:rsidR="007904B1" w:rsidRPr="00C806F2">
        <w:rPr>
          <w:color w:val="auto"/>
        </w:rPr>
        <w:t xml:space="preserve">veteran which is: </w:t>
      </w:r>
    </w:p>
    <w:p w14:paraId="2638E085" w14:textId="77777777" w:rsidR="007904B1" w:rsidRPr="00C806F2" w:rsidRDefault="007904B1" w:rsidP="007904B1">
      <w:pPr>
        <w:pStyle w:val="Default"/>
        <w:rPr>
          <w:color w:val="auto"/>
        </w:rPr>
      </w:pPr>
    </w:p>
    <w:p w14:paraId="6F0A217C" w14:textId="77777777" w:rsidR="007904B1" w:rsidRPr="00C806F2" w:rsidRDefault="007904B1" w:rsidP="007904B1">
      <w:pPr>
        <w:tabs>
          <w:tab w:val="clear" w:pos="720"/>
          <w:tab w:val="clear" w:pos="1440"/>
          <w:tab w:val="clear" w:pos="2160"/>
          <w:tab w:val="clear" w:pos="2880"/>
          <w:tab w:val="clear" w:pos="4680"/>
          <w:tab w:val="clear" w:pos="5400"/>
          <w:tab w:val="clear" w:pos="9000"/>
        </w:tabs>
        <w:ind w:left="709" w:hanging="709"/>
        <w:jc w:val="left"/>
        <w:rPr>
          <w:rFonts w:cs="Arial"/>
          <w:i/>
          <w:szCs w:val="24"/>
          <w:lang w:eastAsia="en-GB"/>
        </w:rPr>
      </w:pPr>
      <w:r w:rsidRPr="00C806F2">
        <w:rPr>
          <w:rFonts w:cs="Arial"/>
          <w:i/>
          <w:szCs w:val="24"/>
          <w:lang w:eastAsia="en-GB"/>
        </w:rPr>
        <w:tab/>
        <w:t xml:space="preserve">Any person who has served for any length of time in the Armed Forces of the United Kingdom of Great Britain and Northern Ireland (whether Regular or Reserve, including National Servicemen). The veterans’ community also includes their widows/widowers and spouses and dependants. Exceptionally, this definition also includes former members of the Merchant Navy who took part in legally defined UK military operations. </w:t>
      </w:r>
    </w:p>
    <w:p w14:paraId="72B383B6" w14:textId="77777777" w:rsidR="007904B1" w:rsidRPr="00C806F2" w:rsidRDefault="007904B1" w:rsidP="007904B1">
      <w:pPr>
        <w:pStyle w:val="Default"/>
        <w:rPr>
          <w:color w:val="auto"/>
        </w:rPr>
      </w:pPr>
    </w:p>
    <w:p w14:paraId="44E43B25" w14:textId="5640EA9D" w:rsidR="009B38A6" w:rsidRPr="001E18FB" w:rsidRDefault="009B38A6" w:rsidP="00B576FE">
      <w:pPr>
        <w:pStyle w:val="Default"/>
        <w:numPr>
          <w:ilvl w:val="0"/>
          <w:numId w:val="15"/>
        </w:numPr>
        <w:ind w:left="426" w:hanging="426"/>
        <w:rPr>
          <w:color w:val="auto"/>
        </w:rPr>
      </w:pPr>
      <w:r>
        <w:rPr>
          <w:color w:val="auto"/>
        </w:rPr>
        <w:t xml:space="preserve">This definition </w:t>
      </w:r>
      <w:r w:rsidR="00CC284E">
        <w:rPr>
          <w:color w:val="auto"/>
        </w:rPr>
        <w:t xml:space="preserve">of veterans </w:t>
      </w:r>
      <w:r>
        <w:rPr>
          <w:color w:val="auto"/>
        </w:rPr>
        <w:t>specifically includes Early Service Leavers, which are defined as being</w:t>
      </w:r>
      <w:r w:rsidR="000C202B">
        <w:rPr>
          <w:color w:val="auto"/>
        </w:rPr>
        <w:t xml:space="preserve"> </w:t>
      </w:r>
      <w:r w:rsidR="000C202B">
        <w:t>those that leave the Armed Forces within four years of joining</w:t>
      </w:r>
      <w:r w:rsidR="00CC284E">
        <w:t>.</w:t>
      </w:r>
    </w:p>
    <w:p w14:paraId="1375760F" w14:textId="77777777" w:rsidR="00CA6A7E" w:rsidRDefault="00CA6A7E" w:rsidP="001E18FB">
      <w:pPr>
        <w:pStyle w:val="Default"/>
        <w:ind w:left="426"/>
        <w:rPr>
          <w:color w:val="auto"/>
        </w:rPr>
      </w:pPr>
    </w:p>
    <w:p w14:paraId="6BD0CC15" w14:textId="4BA6600E" w:rsidR="00B576FE" w:rsidRDefault="00B576FE" w:rsidP="00B576FE">
      <w:pPr>
        <w:pStyle w:val="Default"/>
        <w:numPr>
          <w:ilvl w:val="0"/>
          <w:numId w:val="15"/>
        </w:numPr>
        <w:ind w:left="426" w:hanging="426"/>
        <w:rPr>
          <w:color w:val="auto"/>
        </w:rPr>
      </w:pPr>
      <w:r w:rsidRPr="00C806F2">
        <w:rPr>
          <w:color w:val="auto"/>
        </w:rPr>
        <w:t xml:space="preserve">The </w:t>
      </w:r>
      <w:proofErr w:type="spellStart"/>
      <w:r w:rsidRPr="00C806F2">
        <w:rPr>
          <w:color w:val="auto"/>
        </w:rPr>
        <w:t>SVF</w:t>
      </w:r>
      <w:proofErr w:type="spellEnd"/>
      <w:r w:rsidRPr="00C806F2">
        <w:rPr>
          <w:color w:val="auto"/>
        </w:rPr>
        <w:t xml:space="preserve"> is aimed at projects that are attempting to deliver a new or innovative approach to veterans’ issues, or that seek to develop areas and activities not currently funded by either the Scottish Government or the Ministry of Defence. </w:t>
      </w:r>
      <w:r w:rsidR="007A3A86">
        <w:rPr>
          <w:color w:val="auto"/>
        </w:rPr>
        <w:t>This includes new ways of delivering existing outcomes to reflect changes in circumstance or technology.</w:t>
      </w:r>
      <w:r w:rsidR="007A3A86" w:rsidRPr="00C806F2">
        <w:rPr>
          <w:color w:val="auto"/>
        </w:rPr>
        <w:t xml:space="preserve"> </w:t>
      </w:r>
      <w:r w:rsidRPr="00C806F2">
        <w:rPr>
          <w:color w:val="auto"/>
        </w:rPr>
        <w:t xml:space="preserve">The benefit the project brings to ex-Service personnel and their families will be the primary measure of its value, not the scale of the project. </w:t>
      </w:r>
    </w:p>
    <w:p w14:paraId="44324248" w14:textId="77777777" w:rsidR="00B576FE" w:rsidRDefault="00B576FE" w:rsidP="00C27A0B">
      <w:pPr>
        <w:pStyle w:val="Default"/>
        <w:ind w:left="426"/>
        <w:rPr>
          <w:color w:val="auto"/>
        </w:rPr>
      </w:pPr>
    </w:p>
    <w:p w14:paraId="57259959" w14:textId="77777777" w:rsidR="007904B1" w:rsidRPr="00C806F2" w:rsidRDefault="007904B1" w:rsidP="00C27A0B">
      <w:pPr>
        <w:pStyle w:val="Default"/>
        <w:numPr>
          <w:ilvl w:val="0"/>
          <w:numId w:val="15"/>
        </w:numPr>
        <w:ind w:left="426" w:hanging="426"/>
        <w:rPr>
          <w:color w:val="auto"/>
        </w:rPr>
      </w:pPr>
      <w:r w:rsidRPr="00C806F2">
        <w:rPr>
          <w:color w:val="auto"/>
        </w:rPr>
        <w:t xml:space="preserve">The Scottish Government recognises that, in many cases, veterans’ spouses, partners and families provide valuable support to aid veterans’ transition. Projects that help meet these wider family needs are therefore welcomed. </w:t>
      </w:r>
    </w:p>
    <w:p w14:paraId="4E0A1D02" w14:textId="77777777" w:rsidR="007D30AA" w:rsidRDefault="007D30AA" w:rsidP="00C27A0B">
      <w:pPr>
        <w:pStyle w:val="Default"/>
        <w:ind w:left="426"/>
        <w:rPr>
          <w:color w:val="auto"/>
        </w:rPr>
      </w:pPr>
    </w:p>
    <w:p w14:paraId="7507BC00" w14:textId="718B07B2" w:rsidR="007D30AA" w:rsidRPr="00756599" w:rsidRDefault="007D30AA" w:rsidP="00C27A0B">
      <w:pPr>
        <w:pStyle w:val="Default"/>
        <w:numPr>
          <w:ilvl w:val="0"/>
          <w:numId w:val="15"/>
        </w:numPr>
        <w:ind w:left="426" w:hanging="426"/>
        <w:rPr>
          <w:color w:val="auto"/>
        </w:rPr>
      </w:pPr>
      <w:r w:rsidRPr="00C806F2">
        <w:rPr>
          <w:color w:val="auto"/>
        </w:rPr>
        <w:t xml:space="preserve">All applications must set out who will benefit from any project supported by a </w:t>
      </w:r>
      <w:proofErr w:type="spellStart"/>
      <w:r w:rsidRPr="00C806F2">
        <w:rPr>
          <w:color w:val="auto"/>
        </w:rPr>
        <w:t>SVF</w:t>
      </w:r>
      <w:proofErr w:type="spellEnd"/>
      <w:r w:rsidRPr="00C806F2">
        <w:rPr>
          <w:color w:val="auto"/>
        </w:rPr>
        <w:t xml:space="preserve"> grant, state clearly what the defined outcomes</w:t>
      </w:r>
      <w:r>
        <w:rPr>
          <w:color w:val="auto"/>
        </w:rPr>
        <w:t>, outputs and measurable impact</w:t>
      </w:r>
      <w:r w:rsidRPr="00C806F2">
        <w:rPr>
          <w:color w:val="auto"/>
        </w:rPr>
        <w:t xml:space="preserve"> will be</w:t>
      </w:r>
      <w:r w:rsidR="00CC284E">
        <w:rPr>
          <w:color w:val="auto"/>
        </w:rPr>
        <w:t xml:space="preserve"> (such as number of beneficiaries or similar)</w:t>
      </w:r>
      <w:r w:rsidRPr="00C806F2">
        <w:rPr>
          <w:color w:val="auto"/>
        </w:rPr>
        <w:t xml:space="preserve"> and provide timescales in which they will be achieved.</w:t>
      </w:r>
      <w:r w:rsidRPr="00B956E6">
        <w:t xml:space="preserve"> </w:t>
      </w:r>
      <w:r>
        <w:t>Paragraph 3</w:t>
      </w:r>
      <w:r w:rsidR="00F325BB">
        <w:t>7</w:t>
      </w:r>
      <w:r w:rsidRPr="00782C12">
        <w:t xml:space="preserve"> of th</w:t>
      </w:r>
      <w:r>
        <w:t>is</w:t>
      </w:r>
      <w:r w:rsidRPr="00782C12">
        <w:t xml:space="preserve"> </w:t>
      </w:r>
      <w:r>
        <w:t>guidance below</w:t>
      </w:r>
      <w:r w:rsidRPr="00782C12">
        <w:t xml:space="preserve"> provides further information on </w:t>
      </w:r>
      <w:r>
        <w:t xml:space="preserve">Impact, Inputs, </w:t>
      </w:r>
      <w:r w:rsidRPr="00782C12">
        <w:t>Outcomes and</w:t>
      </w:r>
      <w:r>
        <w:t xml:space="preserve"> Outputs.</w:t>
      </w:r>
    </w:p>
    <w:p w14:paraId="44C449E1" w14:textId="77777777" w:rsidR="0039479B" w:rsidRPr="00756599" w:rsidRDefault="0039479B" w:rsidP="00756599">
      <w:pPr>
        <w:pStyle w:val="Default"/>
        <w:ind w:left="426"/>
        <w:rPr>
          <w:color w:val="auto"/>
        </w:rPr>
      </w:pPr>
    </w:p>
    <w:p w14:paraId="39531C93" w14:textId="77777777" w:rsidR="0039479B" w:rsidRPr="00750206" w:rsidRDefault="0039479B" w:rsidP="0039479B">
      <w:pPr>
        <w:numPr>
          <w:ilvl w:val="0"/>
          <w:numId w:val="15"/>
        </w:numPr>
        <w:tabs>
          <w:tab w:val="clear" w:pos="720"/>
          <w:tab w:val="clear" w:pos="1440"/>
          <w:tab w:val="clear" w:pos="2160"/>
          <w:tab w:val="clear" w:pos="2880"/>
          <w:tab w:val="clear" w:pos="4680"/>
          <w:tab w:val="clear" w:pos="5400"/>
          <w:tab w:val="clear" w:pos="9000"/>
        </w:tabs>
        <w:spacing w:line="240" w:lineRule="auto"/>
        <w:ind w:left="426" w:hanging="426"/>
        <w:jc w:val="left"/>
      </w:pPr>
      <w:r>
        <w:rPr>
          <w:rFonts w:cs="Arial"/>
          <w:szCs w:val="24"/>
        </w:rPr>
        <w:t xml:space="preserve">As outlined in the Scottish Government’s’ response to the Strategy for our Veterans in January 2020, the </w:t>
      </w:r>
      <w:r w:rsidR="00551BD4">
        <w:rPr>
          <w:rFonts w:cs="Arial"/>
          <w:szCs w:val="24"/>
        </w:rPr>
        <w:t xml:space="preserve">SG are </w:t>
      </w:r>
      <w:r>
        <w:rPr>
          <w:rFonts w:cs="Arial"/>
          <w:szCs w:val="24"/>
        </w:rPr>
        <w:t>committed to</w:t>
      </w:r>
      <w:r w:rsidR="00551BD4">
        <w:rPr>
          <w:rFonts w:cs="Arial"/>
          <w:szCs w:val="24"/>
        </w:rPr>
        <w:t xml:space="preserve"> supporting projects which will</w:t>
      </w:r>
      <w:r>
        <w:rPr>
          <w:rFonts w:cs="Arial"/>
          <w:szCs w:val="24"/>
        </w:rPr>
        <w:t xml:space="preserve"> support </w:t>
      </w:r>
      <w:r w:rsidR="00551BD4">
        <w:rPr>
          <w:rFonts w:cs="Arial"/>
          <w:szCs w:val="24"/>
        </w:rPr>
        <w:t>t</w:t>
      </w:r>
      <w:r>
        <w:rPr>
          <w:rFonts w:cs="Arial"/>
          <w:szCs w:val="24"/>
        </w:rPr>
        <w:t>he</w:t>
      </w:r>
      <w:r w:rsidR="00551BD4">
        <w:rPr>
          <w:rFonts w:cs="Arial"/>
          <w:szCs w:val="24"/>
        </w:rPr>
        <w:t xml:space="preserve"> delivery against the</w:t>
      </w:r>
      <w:r>
        <w:rPr>
          <w:rFonts w:cs="Arial"/>
          <w:szCs w:val="24"/>
        </w:rPr>
        <w:t xml:space="preserve"> </w:t>
      </w:r>
      <w:r w:rsidR="00551BD4">
        <w:rPr>
          <w:rFonts w:cs="Arial"/>
          <w:szCs w:val="24"/>
        </w:rPr>
        <w:t xml:space="preserve">principles outlined in the </w:t>
      </w:r>
      <w:r>
        <w:rPr>
          <w:rFonts w:cs="Arial"/>
          <w:szCs w:val="24"/>
        </w:rPr>
        <w:t>Strategy</w:t>
      </w:r>
      <w:r w:rsidR="00551BD4">
        <w:rPr>
          <w:rFonts w:cs="Arial"/>
          <w:szCs w:val="24"/>
        </w:rPr>
        <w:t>,</w:t>
      </w:r>
      <w:r>
        <w:rPr>
          <w:rFonts w:cs="Arial"/>
          <w:szCs w:val="24"/>
        </w:rPr>
        <w:t xml:space="preserve"> which are:</w:t>
      </w:r>
    </w:p>
    <w:p w14:paraId="447BF317" w14:textId="77777777" w:rsidR="00551BD4" w:rsidRPr="00551BD4" w:rsidRDefault="00551BD4" w:rsidP="00756599">
      <w:pPr>
        <w:tabs>
          <w:tab w:val="clear" w:pos="720"/>
          <w:tab w:val="clear" w:pos="1440"/>
          <w:tab w:val="clear" w:pos="2160"/>
          <w:tab w:val="clear" w:pos="2880"/>
          <w:tab w:val="clear" w:pos="4680"/>
          <w:tab w:val="clear" w:pos="5400"/>
          <w:tab w:val="clear" w:pos="9000"/>
        </w:tabs>
        <w:spacing w:line="240" w:lineRule="auto"/>
        <w:ind w:left="426"/>
        <w:jc w:val="left"/>
        <w:rPr>
          <w:rFonts w:cs="Arial"/>
          <w:szCs w:val="24"/>
        </w:rPr>
      </w:pPr>
    </w:p>
    <w:p w14:paraId="6229A254" w14:textId="77777777" w:rsidR="00551BD4" w:rsidRPr="00750206" w:rsidRDefault="00551BD4" w:rsidP="00756599">
      <w:pPr>
        <w:pStyle w:val="ListParagraph"/>
        <w:numPr>
          <w:ilvl w:val="0"/>
          <w:numId w:val="35"/>
        </w:numPr>
        <w:rPr>
          <w:rFonts w:cs="Arial"/>
          <w:szCs w:val="24"/>
        </w:rPr>
      </w:pPr>
      <w:r w:rsidRPr="00756599">
        <w:rPr>
          <w:rFonts w:ascii="Arial" w:hAnsi="Arial" w:cs="Arial"/>
          <w:sz w:val="24"/>
          <w:szCs w:val="24"/>
        </w:rPr>
        <w:t>Veterans are first and foremost civilians and continue to be of benefit to wider society</w:t>
      </w:r>
    </w:p>
    <w:p w14:paraId="72455CB6" w14:textId="77777777" w:rsidR="00551BD4" w:rsidRPr="00750206" w:rsidRDefault="00551BD4" w:rsidP="00756599">
      <w:pPr>
        <w:pStyle w:val="ListParagraph"/>
        <w:numPr>
          <w:ilvl w:val="0"/>
          <w:numId w:val="35"/>
        </w:numPr>
        <w:rPr>
          <w:rFonts w:cs="Arial"/>
          <w:szCs w:val="24"/>
        </w:rPr>
      </w:pPr>
      <w:r w:rsidRPr="00756599">
        <w:rPr>
          <w:rFonts w:ascii="Arial" w:hAnsi="Arial" w:cs="Arial"/>
          <w:sz w:val="24"/>
          <w:szCs w:val="24"/>
        </w:rPr>
        <w:t>Veterans are encouraged and enabled to maximise their potential as civilians</w:t>
      </w:r>
    </w:p>
    <w:p w14:paraId="6A02970B" w14:textId="77777777" w:rsidR="00551BD4" w:rsidRPr="00750206" w:rsidRDefault="00551BD4" w:rsidP="00756599">
      <w:pPr>
        <w:pStyle w:val="ListParagraph"/>
        <w:numPr>
          <w:ilvl w:val="0"/>
          <w:numId w:val="35"/>
        </w:numPr>
        <w:rPr>
          <w:rFonts w:cs="Arial"/>
          <w:szCs w:val="24"/>
        </w:rPr>
      </w:pPr>
      <w:r w:rsidRPr="00756599">
        <w:rPr>
          <w:rFonts w:ascii="Arial" w:hAnsi="Arial" w:cs="Arial"/>
          <w:sz w:val="24"/>
          <w:szCs w:val="24"/>
        </w:rPr>
        <w:t>Veterans are able to access support that meets their needs when necessary through public and voluntary sectors</w:t>
      </w:r>
    </w:p>
    <w:p w14:paraId="0069749D" w14:textId="77777777" w:rsidR="00A85A80" w:rsidRDefault="00A85A80" w:rsidP="00A85A80">
      <w:pPr>
        <w:pStyle w:val="Default"/>
        <w:rPr>
          <w:color w:val="auto"/>
        </w:rPr>
      </w:pPr>
    </w:p>
    <w:p w14:paraId="68AB68EC" w14:textId="5E481ED8" w:rsidR="00A85A80" w:rsidRDefault="00551BD4" w:rsidP="00A85A80">
      <w:pPr>
        <w:pStyle w:val="Default"/>
        <w:numPr>
          <w:ilvl w:val="0"/>
          <w:numId w:val="15"/>
        </w:numPr>
        <w:ind w:left="426" w:hanging="426"/>
        <w:rPr>
          <w:color w:val="auto"/>
        </w:rPr>
      </w:pPr>
      <w:r>
        <w:rPr>
          <w:color w:val="auto"/>
        </w:rPr>
        <w:t>In line with these principles, p</w:t>
      </w:r>
      <w:r w:rsidR="00A85A80" w:rsidRPr="00C806F2">
        <w:rPr>
          <w:color w:val="auto"/>
        </w:rPr>
        <w:t xml:space="preserve">rojects </w:t>
      </w:r>
      <w:r>
        <w:rPr>
          <w:color w:val="auto"/>
        </w:rPr>
        <w:t>must</w:t>
      </w:r>
      <w:r w:rsidR="00A85A80" w:rsidRPr="00C806F2">
        <w:rPr>
          <w:color w:val="auto"/>
        </w:rPr>
        <w:t xml:space="preserve"> include </w:t>
      </w:r>
      <w:r w:rsidR="007A3A86">
        <w:rPr>
          <w:color w:val="auto"/>
        </w:rPr>
        <w:t xml:space="preserve">the sustainable delivery of </w:t>
      </w:r>
      <w:r w:rsidR="00A85A80" w:rsidRPr="00C806F2">
        <w:rPr>
          <w:color w:val="auto"/>
        </w:rPr>
        <w:t xml:space="preserve">one or more of the following aims: </w:t>
      </w:r>
    </w:p>
    <w:p w14:paraId="12E5274A" w14:textId="77777777" w:rsidR="00A85A80" w:rsidRDefault="00A85A80" w:rsidP="00A85A80">
      <w:pPr>
        <w:pStyle w:val="Default"/>
        <w:rPr>
          <w:color w:val="auto"/>
        </w:rPr>
      </w:pPr>
    </w:p>
    <w:p w14:paraId="7C2105EA" w14:textId="77777777" w:rsidR="00A85A80" w:rsidRPr="004B5419" w:rsidRDefault="00A85A80" w:rsidP="00A85A80">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Calibri" w:hAnsi="Calibri"/>
          <w:sz w:val="22"/>
        </w:rPr>
      </w:pPr>
      <w:r w:rsidRPr="004B5419">
        <w:rPr>
          <w:rFonts w:cs="Arial"/>
          <w:szCs w:val="24"/>
        </w:rPr>
        <w:t xml:space="preserve">To fund projects that </w:t>
      </w:r>
      <w:r w:rsidRPr="004B5419">
        <w:rPr>
          <w:rFonts w:cs="Arial"/>
          <w:b/>
          <w:bCs/>
          <w:szCs w:val="24"/>
        </w:rPr>
        <w:t>support access</w:t>
      </w:r>
      <w:r w:rsidRPr="004B5419">
        <w:rPr>
          <w:rFonts w:cs="Arial"/>
          <w:szCs w:val="24"/>
        </w:rPr>
        <w:t xml:space="preserve"> for veterans and the</w:t>
      </w:r>
      <w:r>
        <w:rPr>
          <w:rFonts w:cs="Arial"/>
          <w:szCs w:val="24"/>
        </w:rPr>
        <w:t>ir</w:t>
      </w:r>
      <w:r w:rsidRPr="004B5419">
        <w:rPr>
          <w:rFonts w:cs="Arial"/>
          <w:szCs w:val="24"/>
        </w:rPr>
        <w:t xml:space="preserve"> families to health and social care; housing; employment, skills and education; financial advice; or any other services provided by the public or third sector; as well as those going through the justice system.</w:t>
      </w:r>
    </w:p>
    <w:p w14:paraId="19ECDF84" w14:textId="77777777" w:rsidR="00A85A80" w:rsidRPr="004B5419" w:rsidRDefault="00A85A80" w:rsidP="00A85A80">
      <w:pPr>
        <w:pStyle w:val="ListParagraph"/>
        <w:ind w:left="780"/>
      </w:pPr>
    </w:p>
    <w:p w14:paraId="2F478805" w14:textId="77777777" w:rsidR="00A85A80" w:rsidRPr="004B5419" w:rsidRDefault="00A85A80" w:rsidP="00A85A80">
      <w:pPr>
        <w:numPr>
          <w:ilvl w:val="0"/>
          <w:numId w:val="25"/>
        </w:numPr>
        <w:tabs>
          <w:tab w:val="clear" w:pos="720"/>
          <w:tab w:val="clear" w:pos="1440"/>
          <w:tab w:val="clear" w:pos="2160"/>
          <w:tab w:val="clear" w:pos="2880"/>
          <w:tab w:val="clear" w:pos="4680"/>
          <w:tab w:val="clear" w:pos="5400"/>
          <w:tab w:val="clear" w:pos="9000"/>
        </w:tabs>
        <w:spacing w:line="240" w:lineRule="auto"/>
        <w:jc w:val="left"/>
      </w:pPr>
      <w:r w:rsidRPr="004B5419">
        <w:rPr>
          <w:rFonts w:cs="Arial"/>
          <w:szCs w:val="24"/>
        </w:rPr>
        <w:t xml:space="preserve">To fund projects that support veterans and their families in their </w:t>
      </w:r>
      <w:r w:rsidRPr="004B5419">
        <w:rPr>
          <w:rFonts w:cs="Arial"/>
          <w:b/>
          <w:bCs/>
          <w:szCs w:val="24"/>
        </w:rPr>
        <w:t>meaningful inclusion in civilian life</w:t>
      </w:r>
      <w:r w:rsidRPr="004B5419">
        <w:rPr>
          <w:rFonts w:cs="Arial"/>
          <w:szCs w:val="24"/>
        </w:rPr>
        <w:t>, including those that promote positive health and wellbeing and those that aid social integration, with an emphasis on inclusion amongst civilian / non-military communities.</w:t>
      </w:r>
    </w:p>
    <w:p w14:paraId="663A0314" w14:textId="77777777" w:rsidR="00A85A80" w:rsidRPr="004B5419" w:rsidRDefault="00A85A80" w:rsidP="00A85A80">
      <w:pPr>
        <w:rPr>
          <w:rFonts w:eastAsia="Calibri" w:cs="Arial"/>
          <w:szCs w:val="24"/>
          <w:highlight w:val="yellow"/>
        </w:rPr>
      </w:pPr>
    </w:p>
    <w:p w14:paraId="5A94F93F" w14:textId="77777777" w:rsidR="00A85A80" w:rsidRPr="004B5419" w:rsidRDefault="00A85A80" w:rsidP="00A85A80">
      <w:pPr>
        <w:pStyle w:val="ListParagraph"/>
        <w:numPr>
          <w:ilvl w:val="0"/>
          <w:numId w:val="25"/>
        </w:numPr>
        <w:rPr>
          <w:rFonts w:ascii="Arial" w:hAnsi="Arial" w:cs="Arial"/>
          <w:sz w:val="28"/>
          <w:szCs w:val="28"/>
        </w:rPr>
      </w:pPr>
      <w:r w:rsidRPr="004B5419">
        <w:rPr>
          <w:rFonts w:ascii="Arial" w:hAnsi="Arial" w:cs="Arial"/>
          <w:sz w:val="24"/>
          <w:szCs w:val="24"/>
        </w:rPr>
        <w:t xml:space="preserve">To support </w:t>
      </w:r>
      <w:r w:rsidRPr="004B5419">
        <w:rPr>
          <w:rFonts w:ascii="Arial" w:hAnsi="Arial" w:cs="Arial"/>
          <w:b/>
          <w:bCs/>
          <w:sz w:val="24"/>
          <w:szCs w:val="24"/>
        </w:rPr>
        <w:t xml:space="preserve">successful transition </w:t>
      </w:r>
      <w:r w:rsidRPr="004B5419">
        <w:rPr>
          <w:rFonts w:ascii="Arial" w:hAnsi="Arial" w:cs="Arial"/>
          <w:sz w:val="24"/>
          <w:szCs w:val="24"/>
        </w:rPr>
        <w:t>to civilian life following service</w:t>
      </w:r>
      <w:r>
        <w:rPr>
          <w:rFonts w:ascii="Arial" w:hAnsi="Arial" w:cs="Arial"/>
          <w:sz w:val="24"/>
          <w:szCs w:val="24"/>
        </w:rPr>
        <w:t xml:space="preserve"> for the service person and their family</w:t>
      </w:r>
      <w:r w:rsidRPr="004B5419">
        <w:rPr>
          <w:rFonts w:ascii="Arial" w:hAnsi="Arial" w:cs="Arial"/>
          <w:sz w:val="24"/>
          <w:szCs w:val="24"/>
        </w:rPr>
        <w:t>.</w:t>
      </w:r>
    </w:p>
    <w:p w14:paraId="202ABDB4" w14:textId="77777777" w:rsidR="00A85A80" w:rsidRPr="004B5419" w:rsidRDefault="00A85A80" w:rsidP="00A85A80">
      <w:pPr>
        <w:pStyle w:val="ListParagraph"/>
        <w:ind w:left="780"/>
      </w:pPr>
    </w:p>
    <w:p w14:paraId="22BC77BC" w14:textId="77777777" w:rsidR="002831CB" w:rsidRPr="002831CB" w:rsidRDefault="00A85A80">
      <w:pPr>
        <w:numPr>
          <w:ilvl w:val="0"/>
          <w:numId w:val="25"/>
        </w:numPr>
        <w:tabs>
          <w:tab w:val="clear" w:pos="720"/>
          <w:tab w:val="clear" w:pos="1440"/>
          <w:tab w:val="clear" w:pos="2160"/>
          <w:tab w:val="clear" w:pos="2880"/>
          <w:tab w:val="clear" w:pos="4680"/>
          <w:tab w:val="clear" w:pos="5400"/>
          <w:tab w:val="clear" w:pos="9000"/>
        </w:tabs>
        <w:spacing w:line="240" w:lineRule="auto"/>
        <w:jc w:val="left"/>
      </w:pPr>
      <w:r w:rsidRPr="004B5419">
        <w:rPr>
          <w:rFonts w:cs="Arial"/>
          <w:szCs w:val="24"/>
        </w:rPr>
        <w:t xml:space="preserve">To fund projects that </w:t>
      </w:r>
      <w:r w:rsidRPr="004B5419">
        <w:rPr>
          <w:rFonts w:cs="Arial"/>
          <w:b/>
          <w:bCs/>
          <w:szCs w:val="24"/>
        </w:rPr>
        <w:t>raise awareness</w:t>
      </w:r>
      <w:r w:rsidRPr="004B5419">
        <w:rPr>
          <w:rFonts w:cs="Arial"/>
          <w:szCs w:val="24"/>
        </w:rPr>
        <w:t xml:space="preserve"> of veterans and their families amongst the general public, emphasising their positive contribution to society and local communities.</w:t>
      </w:r>
    </w:p>
    <w:p w14:paraId="334A3CDE" w14:textId="77777777" w:rsidR="00A85A80" w:rsidRDefault="00A85A80" w:rsidP="00A85A80">
      <w:pPr>
        <w:pStyle w:val="Default"/>
        <w:rPr>
          <w:color w:val="auto"/>
        </w:rPr>
      </w:pPr>
    </w:p>
    <w:p w14:paraId="420DD4C2" w14:textId="77777777" w:rsidR="00A85A80" w:rsidRDefault="00A85A80" w:rsidP="00A85A80">
      <w:pPr>
        <w:pStyle w:val="Default"/>
        <w:numPr>
          <w:ilvl w:val="0"/>
          <w:numId w:val="15"/>
        </w:numPr>
        <w:ind w:left="426" w:hanging="426"/>
        <w:rPr>
          <w:color w:val="auto"/>
        </w:rPr>
      </w:pPr>
      <w:r w:rsidRPr="00C806F2">
        <w:rPr>
          <w:color w:val="auto"/>
        </w:rPr>
        <w:lastRenderedPageBreak/>
        <w:t xml:space="preserve">There is a range of well-established support for remembrance activities provided through local authorities and other bodies. The </w:t>
      </w:r>
      <w:proofErr w:type="spellStart"/>
      <w:r w:rsidRPr="00C806F2">
        <w:rPr>
          <w:color w:val="auto"/>
        </w:rPr>
        <w:t>SVF</w:t>
      </w:r>
      <w:proofErr w:type="spellEnd"/>
      <w:r w:rsidRPr="00C806F2">
        <w:rPr>
          <w:color w:val="auto"/>
        </w:rPr>
        <w:t xml:space="preserve"> is therefore not typically intended to fund these type of events; however consideration will be given to </w:t>
      </w:r>
      <w:r w:rsidRPr="00C806F2">
        <w:rPr>
          <w:b/>
          <w:color w:val="auto"/>
        </w:rPr>
        <w:t>exceptional</w:t>
      </w:r>
      <w:r w:rsidRPr="00C806F2">
        <w:rPr>
          <w:color w:val="auto"/>
        </w:rPr>
        <w:t xml:space="preserve"> events of a commemorative nature. </w:t>
      </w:r>
    </w:p>
    <w:p w14:paraId="27A7F497" w14:textId="77777777" w:rsidR="00A85A80" w:rsidRPr="00C806F2" w:rsidRDefault="00A85A80" w:rsidP="00A85A80">
      <w:pPr>
        <w:pStyle w:val="Default"/>
        <w:rPr>
          <w:color w:val="auto"/>
        </w:rPr>
      </w:pPr>
    </w:p>
    <w:p w14:paraId="715EFDB9" w14:textId="77777777" w:rsidR="007904B1" w:rsidRPr="00104C44" w:rsidRDefault="007904B1" w:rsidP="007904B1">
      <w:pPr>
        <w:pStyle w:val="Heading11"/>
        <w:spacing w:line="240" w:lineRule="auto"/>
        <w:rPr>
          <w:rFonts w:ascii="Arial" w:hAnsi="Arial" w:cs="Arial"/>
          <w:sz w:val="28"/>
          <w:szCs w:val="24"/>
        </w:rPr>
      </w:pPr>
      <w:r>
        <w:rPr>
          <w:rFonts w:ascii="Arial" w:hAnsi="Arial" w:cs="Arial"/>
          <w:sz w:val="28"/>
          <w:szCs w:val="24"/>
        </w:rPr>
        <w:t>PREFERRED BIDS</w:t>
      </w:r>
    </w:p>
    <w:p w14:paraId="6AF510E3" w14:textId="0FD42B80" w:rsidR="00C51FB1" w:rsidRDefault="007904B1" w:rsidP="001E18FB">
      <w:pPr>
        <w:pStyle w:val="Default"/>
        <w:rPr>
          <w:color w:val="auto"/>
        </w:rPr>
      </w:pPr>
      <w:r w:rsidRPr="00C806F2">
        <w:rPr>
          <w:b/>
          <w:bCs/>
          <w:color w:val="FFFFFF"/>
        </w:rPr>
        <w:t xml:space="preserve">PARTNERSHIP WORKING </w:t>
      </w:r>
    </w:p>
    <w:p w14:paraId="5695CB9A" w14:textId="5093AED4" w:rsidR="007904B1" w:rsidRPr="00C806F2" w:rsidRDefault="00687B55" w:rsidP="00C27A0B">
      <w:pPr>
        <w:pStyle w:val="Default"/>
        <w:numPr>
          <w:ilvl w:val="0"/>
          <w:numId w:val="15"/>
        </w:numPr>
        <w:ind w:left="426" w:hanging="426"/>
        <w:jc w:val="both"/>
        <w:rPr>
          <w:color w:val="auto"/>
        </w:rPr>
      </w:pPr>
      <w:r>
        <w:rPr>
          <w:color w:val="auto"/>
        </w:rPr>
        <w:t>While all bids that meet at least one of the aims listed above will be welcomed, t</w:t>
      </w:r>
      <w:r w:rsidR="007904B1" w:rsidRPr="00C806F2">
        <w:rPr>
          <w:color w:val="auto"/>
        </w:rPr>
        <w:t xml:space="preserve">he Scottish Government are keen to support projects that promote collaboration and partnership </w:t>
      </w:r>
      <w:r w:rsidR="00C27A0B">
        <w:rPr>
          <w:color w:val="auto"/>
        </w:rPr>
        <w:t xml:space="preserve">from </w:t>
      </w:r>
      <w:r w:rsidR="007904B1" w:rsidRPr="00C806F2">
        <w:rPr>
          <w:color w:val="auto"/>
        </w:rPr>
        <w:t xml:space="preserve">amongst </w:t>
      </w:r>
      <w:r w:rsidR="00C27A0B">
        <w:rPr>
          <w:color w:val="auto"/>
        </w:rPr>
        <w:t xml:space="preserve">and out with </w:t>
      </w:r>
      <w:r w:rsidR="007904B1" w:rsidRPr="00C806F2">
        <w:rPr>
          <w:color w:val="auto"/>
        </w:rPr>
        <w:t xml:space="preserve">the veterans charitable sector, and applicants are strongly encouraged to identify delivery partners and, where possible, potential match funders. </w:t>
      </w:r>
    </w:p>
    <w:p w14:paraId="5A657A5F" w14:textId="77777777" w:rsidR="002831CB" w:rsidRDefault="002831CB" w:rsidP="00756599">
      <w:pPr>
        <w:pStyle w:val="Default"/>
        <w:ind w:left="426"/>
      </w:pPr>
    </w:p>
    <w:p w14:paraId="02147026" w14:textId="5B923953" w:rsidR="002831CB" w:rsidRPr="0039479B" w:rsidRDefault="00687B55" w:rsidP="00756599">
      <w:pPr>
        <w:pStyle w:val="Default"/>
        <w:numPr>
          <w:ilvl w:val="0"/>
          <w:numId w:val="15"/>
        </w:numPr>
        <w:ind w:left="426" w:hanging="426"/>
      </w:pPr>
      <w:r>
        <w:t xml:space="preserve">The Scottish Government are also particularly interested in bids which </w:t>
      </w:r>
      <w:r w:rsidR="0089291F">
        <w:t>include</w:t>
      </w:r>
      <w:r>
        <w:t xml:space="preserve"> </w:t>
      </w:r>
      <w:r w:rsidR="00EC18B8">
        <w:t xml:space="preserve">support to </w:t>
      </w:r>
      <w:r w:rsidR="0089291F">
        <w:t>early service l</w:t>
      </w:r>
      <w:r w:rsidR="000C202B">
        <w:t>eavers</w:t>
      </w:r>
      <w:r w:rsidR="0089291F">
        <w:t xml:space="preserve"> or address some of the issues that this cohort may be particularly likely to face in the transition back to civilian life.</w:t>
      </w:r>
    </w:p>
    <w:p w14:paraId="72A5F22B" w14:textId="77777777" w:rsidR="007D30AA" w:rsidRPr="00622F92" w:rsidRDefault="007D30AA" w:rsidP="00C27A0B">
      <w:pPr>
        <w:pStyle w:val="Default"/>
        <w:ind w:left="426"/>
        <w:rPr>
          <w:color w:val="auto"/>
        </w:rPr>
      </w:pPr>
    </w:p>
    <w:p w14:paraId="63484172" w14:textId="13ADFB9F" w:rsidR="007D30AA" w:rsidRPr="00104C44" w:rsidRDefault="007D30AA" w:rsidP="007D30AA">
      <w:pPr>
        <w:pStyle w:val="Heading11"/>
        <w:spacing w:line="240" w:lineRule="auto"/>
        <w:rPr>
          <w:rFonts w:ascii="Arial" w:hAnsi="Arial" w:cs="Arial"/>
          <w:sz w:val="28"/>
          <w:szCs w:val="24"/>
        </w:rPr>
      </w:pPr>
      <w:r>
        <w:rPr>
          <w:rFonts w:ascii="Arial" w:hAnsi="Arial" w:cs="Arial"/>
          <w:sz w:val="28"/>
          <w:szCs w:val="24"/>
        </w:rPr>
        <w:t xml:space="preserve">PROJECTS </w:t>
      </w:r>
      <w:proofErr w:type="spellStart"/>
      <w:r>
        <w:rPr>
          <w:rFonts w:ascii="Arial" w:hAnsi="Arial" w:cs="Arial"/>
          <w:sz w:val="28"/>
          <w:szCs w:val="24"/>
        </w:rPr>
        <w:t>OUTWITH</w:t>
      </w:r>
      <w:proofErr w:type="spellEnd"/>
      <w:r>
        <w:rPr>
          <w:rFonts w:ascii="Arial" w:hAnsi="Arial" w:cs="Arial"/>
          <w:sz w:val="28"/>
          <w:szCs w:val="24"/>
        </w:rPr>
        <w:t xml:space="preserve"> THE SCOTTISH VETERANS FUND</w:t>
      </w:r>
    </w:p>
    <w:p w14:paraId="6603ACEB" w14:textId="77777777" w:rsidR="007D30AA" w:rsidRPr="00ED5DA1" w:rsidRDefault="007D30AA" w:rsidP="007D30AA">
      <w:pPr>
        <w:pStyle w:val="Default"/>
        <w:jc w:val="both"/>
        <w:rPr>
          <w:color w:val="auto"/>
        </w:rPr>
      </w:pPr>
    </w:p>
    <w:p w14:paraId="360DB2E6" w14:textId="149ACDC5" w:rsidR="007D30AA" w:rsidRDefault="007D30AA" w:rsidP="007D30AA">
      <w:pPr>
        <w:pStyle w:val="Default"/>
        <w:numPr>
          <w:ilvl w:val="0"/>
          <w:numId w:val="15"/>
        </w:numPr>
        <w:ind w:left="426" w:hanging="426"/>
        <w:jc w:val="both"/>
        <w:rPr>
          <w:color w:val="auto"/>
        </w:rPr>
      </w:pPr>
      <w:r w:rsidRPr="00C806F2">
        <w:rPr>
          <w:color w:val="auto"/>
        </w:rPr>
        <w:t xml:space="preserve">The </w:t>
      </w:r>
      <w:proofErr w:type="spellStart"/>
      <w:r w:rsidRPr="00C806F2">
        <w:rPr>
          <w:color w:val="auto"/>
        </w:rPr>
        <w:t>SVF</w:t>
      </w:r>
      <w:proofErr w:type="spellEnd"/>
      <w:r w:rsidRPr="00C806F2">
        <w:rPr>
          <w:color w:val="auto"/>
        </w:rPr>
        <w:t xml:space="preserve"> will not provide funding for:</w:t>
      </w:r>
    </w:p>
    <w:p w14:paraId="4695013D" w14:textId="77777777" w:rsidR="007D30AA" w:rsidRDefault="007D30AA" w:rsidP="007D30AA">
      <w:pPr>
        <w:pStyle w:val="Default"/>
        <w:ind w:left="426"/>
        <w:jc w:val="both"/>
        <w:rPr>
          <w:color w:val="auto"/>
        </w:rPr>
      </w:pPr>
    </w:p>
    <w:p w14:paraId="5D5D5946" w14:textId="11D4AB3A" w:rsidR="007D30AA" w:rsidRPr="00C806F2" w:rsidRDefault="0059031A" w:rsidP="007D30AA">
      <w:pPr>
        <w:pStyle w:val="Default"/>
        <w:numPr>
          <w:ilvl w:val="0"/>
          <w:numId w:val="14"/>
        </w:numPr>
        <w:spacing w:after="30"/>
        <w:rPr>
          <w:color w:val="auto"/>
        </w:rPr>
      </w:pPr>
      <w:r>
        <w:rPr>
          <w:color w:val="auto"/>
        </w:rPr>
        <w:t xml:space="preserve">Projects </w:t>
      </w:r>
      <w:r w:rsidR="007D30AA" w:rsidRPr="00C806F2">
        <w:rPr>
          <w:color w:val="auto"/>
        </w:rPr>
        <w:t xml:space="preserve">based outside of Scotland. </w:t>
      </w:r>
    </w:p>
    <w:p w14:paraId="6136C3A5" w14:textId="26B98D70" w:rsidR="007D30AA" w:rsidRDefault="0059031A" w:rsidP="007D30AA">
      <w:pPr>
        <w:pStyle w:val="Default"/>
        <w:numPr>
          <w:ilvl w:val="0"/>
          <w:numId w:val="14"/>
        </w:numPr>
        <w:spacing w:after="30"/>
        <w:rPr>
          <w:color w:val="auto"/>
        </w:rPr>
      </w:pPr>
      <w:r>
        <w:rPr>
          <w:color w:val="auto"/>
        </w:rPr>
        <w:t>Projects</w:t>
      </w:r>
      <w:r w:rsidR="007D30AA" w:rsidRPr="00C806F2">
        <w:rPr>
          <w:color w:val="auto"/>
        </w:rPr>
        <w:t xml:space="preserve"> solely aimed at serving members of HM Armed Forces, except for projects with a clear, evidence-based benefit to enable successful transition to civilian life</w:t>
      </w:r>
      <w:r w:rsidR="007D685E" w:rsidRPr="007D685E">
        <w:rPr>
          <w:color w:val="auto"/>
        </w:rPr>
        <w:t xml:space="preserve"> </w:t>
      </w:r>
      <w:r w:rsidR="007D685E" w:rsidRPr="00C806F2">
        <w:rPr>
          <w:color w:val="auto"/>
        </w:rPr>
        <w:t>and on why the need is not met by Ministry of Defence’s obligations to personnel</w:t>
      </w:r>
      <w:r w:rsidR="007D30AA" w:rsidRPr="00C806F2">
        <w:rPr>
          <w:color w:val="auto"/>
        </w:rPr>
        <w:t xml:space="preserve">. </w:t>
      </w:r>
    </w:p>
    <w:p w14:paraId="0CFC7C64" w14:textId="3773D276" w:rsidR="007D30AA" w:rsidRPr="00C806F2" w:rsidRDefault="0059031A" w:rsidP="007D30AA">
      <w:pPr>
        <w:pStyle w:val="Default"/>
        <w:numPr>
          <w:ilvl w:val="0"/>
          <w:numId w:val="14"/>
        </w:numPr>
        <w:spacing w:after="30"/>
        <w:rPr>
          <w:color w:val="auto"/>
        </w:rPr>
      </w:pPr>
      <w:r>
        <w:rPr>
          <w:color w:val="auto"/>
        </w:rPr>
        <w:t>D</w:t>
      </w:r>
      <w:r w:rsidR="007D30AA" w:rsidRPr="00C806F2">
        <w:rPr>
          <w:color w:val="auto"/>
        </w:rPr>
        <w:t xml:space="preserve">irect payments to ex-Service personnel. </w:t>
      </w:r>
    </w:p>
    <w:p w14:paraId="4D3CCDF0" w14:textId="242514B4" w:rsidR="007D30AA" w:rsidRPr="00C806F2" w:rsidRDefault="0059031A" w:rsidP="007D30AA">
      <w:pPr>
        <w:pStyle w:val="Default"/>
        <w:numPr>
          <w:ilvl w:val="0"/>
          <w:numId w:val="14"/>
        </w:numPr>
        <w:spacing w:after="30"/>
        <w:rPr>
          <w:color w:val="auto"/>
        </w:rPr>
      </w:pPr>
      <w:r>
        <w:rPr>
          <w:color w:val="auto"/>
        </w:rPr>
        <w:t>The f</w:t>
      </w:r>
      <w:r w:rsidR="007D30AA" w:rsidRPr="00C806F2">
        <w:rPr>
          <w:color w:val="auto"/>
        </w:rPr>
        <w:t>und</w:t>
      </w:r>
      <w:r>
        <w:rPr>
          <w:color w:val="auto"/>
        </w:rPr>
        <w:t>ing of</w:t>
      </w:r>
      <w:r w:rsidR="007D30AA" w:rsidRPr="00C806F2">
        <w:rPr>
          <w:color w:val="auto"/>
        </w:rPr>
        <w:t xml:space="preserve"> capital works, </w:t>
      </w:r>
      <w:r>
        <w:rPr>
          <w:color w:val="auto"/>
        </w:rPr>
        <w:t>such as</w:t>
      </w:r>
      <w:r w:rsidR="007D30AA" w:rsidRPr="00C806F2">
        <w:rPr>
          <w:color w:val="auto"/>
        </w:rPr>
        <w:t xml:space="preserve"> building</w:t>
      </w:r>
      <w:r>
        <w:rPr>
          <w:color w:val="auto"/>
        </w:rPr>
        <w:t>s</w:t>
      </w:r>
      <w:r w:rsidR="007D30AA" w:rsidRPr="00C806F2">
        <w:rPr>
          <w:color w:val="auto"/>
        </w:rPr>
        <w:t xml:space="preserve"> or </w:t>
      </w:r>
      <w:r>
        <w:rPr>
          <w:color w:val="auto"/>
        </w:rPr>
        <w:t>infrastructure</w:t>
      </w:r>
      <w:r w:rsidR="007D30AA" w:rsidRPr="00C806F2">
        <w:rPr>
          <w:color w:val="auto"/>
        </w:rPr>
        <w:t xml:space="preserve">. </w:t>
      </w:r>
    </w:p>
    <w:p w14:paraId="30B54036" w14:textId="0D41B54F" w:rsidR="007D30AA" w:rsidRPr="00C806F2" w:rsidRDefault="0059031A" w:rsidP="007D30AA">
      <w:pPr>
        <w:pStyle w:val="Default"/>
        <w:numPr>
          <w:ilvl w:val="0"/>
          <w:numId w:val="14"/>
        </w:numPr>
        <w:spacing w:after="30"/>
        <w:rPr>
          <w:color w:val="auto"/>
        </w:rPr>
      </w:pPr>
      <w:r>
        <w:rPr>
          <w:color w:val="auto"/>
        </w:rPr>
        <w:t>R</w:t>
      </w:r>
      <w:r w:rsidR="007D30AA" w:rsidRPr="00C806F2">
        <w:rPr>
          <w:color w:val="auto"/>
        </w:rPr>
        <w:t>eunion</w:t>
      </w:r>
      <w:r>
        <w:rPr>
          <w:color w:val="auto"/>
        </w:rPr>
        <w:t>s</w:t>
      </w:r>
      <w:r w:rsidR="007D30AA" w:rsidRPr="00C806F2">
        <w:rPr>
          <w:color w:val="auto"/>
        </w:rPr>
        <w:t>, reception</w:t>
      </w:r>
      <w:r>
        <w:rPr>
          <w:color w:val="auto"/>
        </w:rPr>
        <w:t>s</w:t>
      </w:r>
      <w:r w:rsidR="007D30AA" w:rsidRPr="00C806F2">
        <w:rPr>
          <w:color w:val="auto"/>
        </w:rPr>
        <w:t xml:space="preserve"> or activit</w:t>
      </w:r>
      <w:r>
        <w:rPr>
          <w:color w:val="auto"/>
        </w:rPr>
        <w:t>ies</w:t>
      </w:r>
      <w:r w:rsidR="007D30AA" w:rsidRPr="00C806F2">
        <w:rPr>
          <w:color w:val="auto"/>
        </w:rPr>
        <w:t xml:space="preserve"> for which other funding sources (such as the Big Lottery Fund) could be used. </w:t>
      </w:r>
    </w:p>
    <w:p w14:paraId="346D3128" w14:textId="2CD555BE" w:rsidR="007D30AA" w:rsidRPr="00C806F2" w:rsidRDefault="0059031A" w:rsidP="007D30AA">
      <w:pPr>
        <w:pStyle w:val="Default"/>
        <w:numPr>
          <w:ilvl w:val="0"/>
          <w:numId w:val="14"/>
        </w:numPr>
        <w:spacing w:after="30"/>
        <w:rPr>
          <w:color w:val="auto"/>
        </w:rPr>
      </w:pPr>
      <w:r>
        <w:rPr>
          <w:color w:val="auto"/>
        </w:rPr>
        <w:t>T</w:t>
      </w:r>
      <w:r w:rsidR="007D30AA" w:rsidRPr="00C806F2">
        <w:rPr>
          <w:color w:val="auto"/>
        </w:rPr>
        <w:t xml:space="preserve">he erection, maintenance or repair of a memorial. </w:t>
      </w:r>
    </w:p>
    <w:p w14:paraId="5C03A7B1" w14:textId="0F471CCA" w:rsidR="007D30AA" w:rsidRPr="00C806F2" w:rsidRDefault="0059031A" w:rsidP="007D30AA">
      <w:pPr>
        <w:pStyle w:val="Default"/>
        <w:numPr>
          <w:ilvl w:val="0"/>
          <w:numId w:val="14"/>
        </w:numPr>
        <w:spacing w:after="30"/>
        <w:rPr>
          <w:color w:val="auto"/>
        </w:rPr>
      </w:pPr>
      <w:r>
        <w:rPr>
          <w:color w:val="auto"/>
        </w:rPr>
        <w:t xml:space="preserve">The </w:t>
      </w:r>
      <w:r w:rsidR="007D30AA" w:rsidRPr="00C806F2">
        <w:rPr>
          <w:color w:val="auto"/>
        </w:rPr>
        <w:t>‘gap fill</w:t>
      </w:r>
      <w:r>
        <w:rPr>
          <w:color w:val="auto"/>
        </w:rPr>
        <w:t>ing</w:t>
      </w:r>
      <w:r w:rsidR="007D30AA" w:rsidRPr="00C806F2">
        <w:rPr>
          <w:color w:val="auto"/>
        </w:rPr>
        <w:t xml:space="preserve">’ </w:t>
      </w:r>
      <w:r>
        <w:rPr>
          <w:color w:val="auto"/>
        </w:rPr>
        <w:t xml:space="preserve">of </w:t>
      </w:r>
      <w:r w:rsidR="007D30AA" w:rsidRPr="00C806F2">
        <w:rPr>
          <w:color w:val="auto"/>
        </w:rPr>
        <w:t xml:space="preserve">a service that is or should be provided by others. </w:t>
      </w:r>
    </w:p>
    <w:p w14:paraId="13451B2D" w14:textId="666C6876" w:rsidR="007D30AA" w:rsidRPr="00C806F2" w:rsidRDefault="0059031A" w:rsidP="007D30AA">
      <w:pPr>
        <w:pStyle w:val="Default"/>
        <w:numPr>
          <w:ilvl w:val="0"/>
          <w:numId w:val="14"/>
        </w:numPr>
        <w:spacing w:after="30"/>
        <w:rPr>
          <w:color w:val="auto"/>
        </w:rPr>
      </w:pPr>
      <w:r>
        <w:rPr>
          <w:color w:val="auto"/>
        </w:rPr>
        <w:t>Retrospective payments for activity that has already been carried out</w:t>
      </w:r>
    </w:p>
    <w:p w14:paraId="5D305A13" w14:textId="67F07379" w:rsidR="007D30AA" w:rsidRPr="00C806F2" w:rsidRDefault="0059031A" w:rsidP="007D30AA">
      <w:pPr>
        <w:pStyle w:val="Default"/>
        <w:numPr>
          <w:ilvl w:val="0"/>
          <w:numId w:val="14"/>
        </w:numPr>
        <w:rPr>
          <w:color w:val="auto"/>
        </w:rPr>
      </w:pPr>
      <w:r>
        <w:rPr>
          <w:color w:val="auto"/>
        </w:rPr>
        <w:t>Projects which i</w:t>
      </w:r>
      <w:r w:rsidR="007D30AA" w:rsidRPr="00C806F2">
        <w:rPr>
          <w:color w:val="auto"/>
        </w:rPr>
        <w:t xml:space="preserve">nclude a substantial proportion of core administration, personnel or running costs. </w:t>
      </w:r>
    </w:p>
    <w:p w14:paraId="22FC64BE" w14:textId="77777777" w:rsidR="007904B1" w:rsidRDefault="007904B1" w:rsidP="007904B1">
      <w:pPr>
        <w:pStyle w:val="Default"/>
        <w:jc w:val="both"/>
        <w:rPr>
          <w:color w:val="auto"/>
        </w:rPr>
      </w:pPr>
    </w:p>
    <w:p w14:paraId="47B19EB2" w14:textId="77777777" w:rsidR="007904B1" w:rsidRPr="007904B1" w:rsidRDefault="007904B1" w:rsidP="007904B1">
      <w:pPr>
        <w:pStyle w:val="Heading11"/>
        <w:spacing w:line="240" w:lineRule="auto"/>
        <w:rPr>
          <w:rFonts w:ascii="Arial" w:hAnsi="Arial" w:cs="Arial"/>
          <w:b w:val="0"/>
          <w:sz w:val="28"/>
          <w:szCs w:val="22"/>
        </w:rPr>
      </w:pPr>
      <w:r w:rsidRPr="007904B1">
        <w:rPr>
          <w:rFonts w:ascii="Arial" w:hAnsi="Arial" w:cs="Arial"/>
          <w:sz w:val="28"/>
          <w:szCs w:val="22"/>
        </w:rPr>
        <w:t>FAIR WORK IN SCOTLAND</w:t>
      </w:r>
    </w:p>
    <w:p w14:paraId="0421EC0F" w14:textId="77777777" w:rsidR="007904B1" w:rsidRDefault="007904B1" w:rsidP="007904B1">
      <w:pPr>
        <w:pStyle w:val="Default"/>
        <w:jc w:val="both"/>
        <w:rPr>
          <w:color w:val="auto"/>
        </w:rPr>
      </w:pPr>
    </w:p>
    <w:p w14:paraId="2469A350" w14:textId="0E8AC56C" w:rsidR="00712F66" w:rsidRPr="00712F66" w:rsidRDefault="007904B1" w:rsidP="00712F66">
      <w:pPr>
        <w:pStyle w:val="Default"/>
        <w:numPr>
          <w:ilvl w:val="0"/>
          <w:numId w:val="15"/>
        </w:numPr>
        <w:ind w:left="426" w:hanging="426"/>
        <w:rPr>
          <w:color w:val="auto"/>
          <w:szCs w:val="22"/>
        </w:rPr>
      </w:pPr>
      <w:r w:rsidRPr="007904B1">
        <w:rPr>
          <w:color w:val="auto"/>
          <w:szCs w:val="22"/>
        </w:rPr>
        <w:t xml:space="preserve">The Scottish Government is committed to ensuring all workers in Scotland experience fairness at work.  This benefits not only individuals and their families, but also their employer, communities and the Scottish economy.  The </w:t>
      </w:r>
      <w:hyperlink r:id="rId12" w:history="1">
        <w:r w:rsidRPr="007904B1">
          <w:rPr>
            <w:rStyle w:val="Hyperlink"/>
            <w:szCs w:val="22"/>
          </w:rPr>
          <w:t>Fair Work Convention’s Framework</w:t>
        </w:r>
      </w:hyperlink>
      <w:r w:rsidRPr="007904B1">
        <w:rPr>
          <w:color w:val="auto"/>
          <w:szCs w:val="22"/>
        </w:rPr>
        <w:t xml:space="preserve"> describes Fair Work as work which offers workers respect, fulfilment, opportunity, effective voice and security; these dimensions underpin the Scottish Government’s approach to embedding Fair Work in workplaces across the country.  Therefore, organisations wishing to access Scottish Government funding will be required to demonstrate their commitment to </w:t>
      </w:r>
      <w:hyperlink r:id="rId13" w:history="1">
        <w:r w:rsidRPr="007904B1">
          <w:rPr>
            <w:rStyle w:val="Hyperlink"/>
            <w:szCs w:val="22"/>
          </w:rPr>
          <w:t>Fair Work First</w:t>
        </w:r>
      </w:hyperlink>
      <w:r w:rsidRPr="007904B1">
        <w:rPr>
          <w:color w:val="auto"/>
          <w:szCs w:val="22"/>
        </w:rPr>
        <w:t xml:space="preserve">, and </w:t>
      </w:r>
      <w:r w:rsidR="00712F66" w:rsidRPr="00712F66">
        <w:rPr>
          <w:color w:val="auto"/>
          <w:szCs w:val="22"/>
        </w:rPr>
        <w:t>as a minimum to commit to:</w:t>
      </w:r>
    </w:p>
    <w:p w14:paraId="03AAFFD2" w14:textId="77777777" w:rsidR="00712F66" w:rsidRPr="00712F66" w:rsidRDefault="00712F66" w:rsidP="00712F66">
      <w:pPr>
        <w:pStyle w:val="Default"/>
        <w:ind w:left="720"/>
        <w:rPr>
          <w:color w:val="auto"/>
          <w:szCs w:val="22"/>
        </w:rPr>
      </w:pPr>
    </w:p>
    <w:p w14:paraId="5224C0E7" w14:textId="77777777" w:rsidR="00712F66" w:rsidRPr="00712F66" w:rsidRDefault="00712F66" w:rsidP="00712F66">
      <w:pPr>
        <w:pStyle w:val="Default"/>
        <w:numPr>
          <w:ilvl w:val="0"/>
          <w:numId w:val="44"/>
        </w:numPr>
        <w:ind w:left="851"/>
        <w:rPr>
          <w:color w:val="auto"/>
          <w:szCs w:val="22"/>
        </w:rPr>
      </w:pPr>
      <w:r w:rsidRPr="00712F66">
        <w:rPr>
          <w:color w:val="auto"/>
          <w:szCs w:val="22"/>
        </w:rPr>
        <w:lastRenderedPageBreak/>
        <w:t>appropriate channels for effective voice, such as trade union recognition.</w:t>
      </w:r>
    </w:p>
    <w:p w14:paraId="67093ECC" w14:textId="77777777" w:rsidR="00712F66" w:rsidRPr="00712F66" w:rsidRDefault="00712F66" w:rsidP="00712F66">
      <w:pPr>
        <w:pStyle w:val="Default"/>
        <w:numPr>
          <w:ilvl w:val="0"/>
          <w:numId w:val="44"/>
        </w:numPr>
        <w:ind w:left="851"/>
        <w:rPr>
          <w:color w:val="auto"/>
          <w:szCs w:val="22"/>
        </w:rPr>
      </w:pPr>
      <w:r w:rsidRPr="00712F66">
        <w:rPr>
          <w:color w:val="auto"/>
          <w:szCs w:val="22"/>
        </w:rPr>
        <w:t xml:space="preserve">Investment in workforce development. </w:t>
      </w:r>
    </w:p>
    <w:p w14:paraId="68BB12FD" w14:textId="77777777" w:rsidR="00712F66" w:rsidRPr="00712F66" w:rsidRDefault="00712F66" w:rsidP="00712F66">
      <w:pPr>
        <w:pStyle w:val="Default"/>
        <w:numPr>
          <w:ilvl w:val="0"/>
          <w:numId w:val="44"/>
        </w:numPr>
        <w:ind w:left="851"/>
        <w:rPr>
          <w:color w:val="auto"/>
          <w:szCs w:val="22"/>
        </w:rPr>
      </w:pPr>
      <w:r w:rsidRPr="00712F66">
        <w:rPr>
          <w:color w:val="auto"/>
          <w:szCs w:val="22"/>
        </w:rPr>
        <w:t xml:space="preserve">no inappropriate use of zero hours contracts. </w:t>
      </w:r>
    </w:p>
    <w:p w14:paraId="6BD46FEA" w14:textId="77777777" w:rsidR="00712F66" w:rsidRPr="00712F66" w:rsidRDefault="00712F66" w:rsidP="00712F66">
      <w:pPr>
        <w:pStyle w:val="Default"/>
        <w:numPr>
          <w:ilvl w:val="0"/>
          <w:numId w:val="44"/>
        </w:numPr>
        <w:ind w:left="851"/>
        <w:rPr>
          <w:color w:val="auto"/>
          <w:szCs w:val="22"/>
        </w:rPr>
      </w:pPr>
      <w:r w:rsidRPr="00712F66">
        <w:rPr>
          <w:color w:val="auto"/>
          <w:szCs w:val="22"/>
        </w:rPr>
        <w:t xml:space="preserve">action to tackle the gender pay gap and create a more diverse and inclusive workplace. </w:t>
      </w:r>
    </w:p>
    <w:p w14:paraId="4FD65573" w14:textId="77777777" w:rsidR="00712F66" w:rsidRPr="00712F66" w:rsidRDefault="00712F66" w:rsidP="00712F66">
      <w:pPr>
        <w:pStyle w:val="Default"/>
        <w:numPr>
          <w:ilvl w:val="0"/>
          <w:numId w:val="44"/>
        </w:numPr>
        <w:ind w:left="851"/>
        <w:rPr>
          <w:color w:val="auto"/>
          <w:szCs w:val="22"/>
        </w:rPr>
      </w:pPr>
      <w:r w:rsidRPr="00712F66">
        <w:rPr>
          <w:color w:val="auto"/>
          <w:szCs w:val="22"/>
        </w:rPr>
        <w:t>payment of the real Living Wage</w:t>
      </w:r>
    </w:p>
    <w:p w14:paraId="6C98F6EA" w14:textId="77777777" w:rsidR="005E54C3" w:rsidRDefault="005E54C3" w:rsidP="00712F66">
      <w:pPr>
        <w:pStyle w:val="Default"/>
        <w:ind w:left="426"/>
        <w:jc w:val="both"/>
        <w:rPr>
          <w:szCs w:val="22"/>
        </w:rPr>
      </w:pPr>
    </w:p>
    <w:p w14:paraId="43455C8E" w14:textId="77777777" w:rsidR="007904B1" w:rsidRPr="00ED5DA1" w:rsidRDefault="007904B1" w:rsidP="007904B1">
      <w:pPr>
        <w:pStyle w:val="Default"/>
        <w:numPr>
          <w:ilvl w:val="0"/>
          <w:numId w:val="15"/>
        </w:numPr>
        <w:ind w:left="426" w:hanging="426"/>
        <w:jc w:val="both"/>
        <w:rPr>
          <w:color w:val="auto"/>
        </w:rPr>
      </w:pPr>
      <w:r w:rsidRPr="007904B1">
        <w:rPr>
          <w:szCs w:val="22"/>
        </w:rPr>
        <w:t xml:space="preserve">Applicants may find it helpful to read more about what Fair Work means in practice, </w:t>
      </w:r>
      <w:hyperlink r:id="rId14" w:history="1">
        <w:r w:rsidRPr="007904B1">
          <w:rPr>
            <w:rStyle w:val="Hyperlink"/>
            <w:szCs w:val="22"/>
          </w:rPr>
          <w:t>here</w:t>
        </w:r>
      </w:hyperlink>
      <w:r w:rsidRPr="007904B1">
        <w:rPr>
          <w:szCs w:val="22"/>
        </w:rPr>
        <w:t>.  In order to ensure high quality outcomes from projects, applicants should demonstrate their commitment to Fair Work First, including what action they are currently taking and how they will progress fair working practices through the life of the project.  This will be considered in the assessment process.</w:t>
      </w:r>
    </w:p>
    <w:p w14:paraId="56FC7CA4" w14:textId="77777777" w:rsidR="007904B1" w:rsidRDefault="007904B1" w:rsidP="00814AEE">
      <w:pPr>
        <w:pStyle w:val="Default"/>
        <w:rPr>
          <w:color w:val="auto"/>
        </w:rPr>
      </w:pPr>
    </w:p>
    <w:p w14:paraId="2F467D3D" w14:textId="77777777" w:rsidR="00622F92" w:rsidRPr="00104C44" w:rsidRDefault="00622F92" w:rsidP="00622F92">
      <w:pPr>
        <w:pStyle w:val="Heading11"/>
        <w:spacing w:line="240" w:lineRule="auto"/>
        <w:rPr>
          <w:rFonts w:ascii="Arial" w:hAnsi="Arial" w:cs="Arial"/>
          <w:sz w:val="32"/>
          <w:szCs w:val="24"/>
        </w:rPr>
      </w:pPr>
      <w:r>
        <w:rPr>
          <w:rFonts w:ascii="Arial" w:hAnsi="Arial" w:cs="Arial"/>
          <w:sz w:val="28"/>
          <w:szCs w:val="24"/>
        </w:rPr>
        <w:t>LEVEL OF FUNDING AVAILABLE</w:t>
      </w:r>
    </w:p>
    <w:p w14:paraId="3E3F68F3" w14:textId="77777777" w:rsidR="00622F92" w:rsidRPr="00C806F2" w:rsidRDefault="00622F92" w:rsidP="00622F92">
      <w:pPr>
        <w:pStyle w:val="Default"/>
        <w:rPr>
          <w:color w:val="FFFFFF"/>
        </w:rPr>
      </w:pPr>
      <w:r w:rsidRPr="00C806F2">
        <w:rPr>
          <w:b/>
          <w:bCs/>
          <w:color w:val="FFFFFF"/>
        </w:rPr>
        <w:t xml:space="preserve">BUDGET </w:t>
      </w:r>
    </w:p>
    <w:p w14:paraId="21A9F950" w14:textId="53834197" w:rsidR="00D30023" w:rsidRDefault="00D30023" w:rsidP="006D0F36">
      <w:pPr>
        <w:pStyle w:val="Default"/>
        <w:numPr>
          <w:ilvl w:val="0"/>
          <w:numId w:val="15"/>
        </w:numPr>
        <w:ind w:left="426" w:hanging="426"/>
        <w:rPr>
          <w:color w:val="auto"/>
        </w:rPr>
      </w:pPr>
      <w:r w:rsidRPr="00D30023">
        <w:rPr>
          <w:color w:val="auto"/>
        </w:rPr>
        <w:t xml:space="preserve">The Scottish Government has committed to </w:t>
      </w:r>
      <w:r w:rsidR="00876CF3">
        <w:rPr>
          <w:color w:val="auto"/>
        </w:rPr>
        <w:t>funding</w:t>
      </w:r>
      <w:r w:rsidR="00876CF3" w:rsidRPr="00D30023">
        <w:rPr>
          <w:color w:val="auto"/>
        </w:rPr>
        <w:t xml:space="preserve"> </w:t>
      </w:r>
      <w:r w:rsidRPr="00D30023">
        <w:rPr>
          <w:color w:val="auto"/>
        </w:rPr>
        <w:t xml:space="preserve">the </w:t>
      </w:r>
      <w:proofErr w:type="spellStart"/>
      <w:r w:rsidRPr="00D30023">
        <w:rPr>
          <w:color w:val="auto"/>
        </w:rPr>
        <w:t>SVF</w:t>
      </w:r>
      <w:proofErr w:type="spellEnd"/>
      <w:r w:rsidRPr="00D30023">
        <w:rPr>
          <w:color w:val="auto"/>
        </w:rPr>
        <w:t xml:space="preserve"> </w:t>
      </w:r>
      <w:r w:rsidR="00876CF3">
        <w:rPr>
          <w:color w:val="auto"/>
        </w:rPr>
        <w:t>at the level of £500,000 per annum for</w:t>
      </w:r>
      <w:r w:rsidRPr="00D30023">
        <w:rPr>
          <w:color w:val="auto"/>
        </w:rPr>
        <w:t xml:space="preserve"> th</w:t>
      </w:r>
      <w:r w:rsidR="004B1CB0">
        <w:rPr>
          <w:color w:val="auto"/>
        </w:rPr>
        <w:t>e remainder of this Parliament.</w:t>
      </w:r>
    </w:p>
    <w:p w14:paraId="0E46A7C3" w14:textId="77777777" w:rsidR="00876CF3" w:rsidRDefault="00876CF3" w:rsidP="001E18FB">
      <w:pPr>
        <w:pStyle w:val="Default"/>
        <w:ind w:left="426"/>
        <w:rPr>
          <w:color w:val="auto"/>
        </w:rPr>
      </w:pPr>
    </w:p>
    <w:p w14:paraId="3366393B" w14:textId="23996D63" w:rsidR="00876CF3" w:rsidRPr="006B2E5F" w:rsidRDefault="004B1CB0">
      <w:pPr>
        <w:pStyle w:val="Default"/>
        <w:numPr>
          <w:ilvl w:val="0"/>
          <w:numId w:val="15"/>
        </w:numPr>
        <w:ind w:left="426" w:hanging="426"/>
        <w:rPr>
          <w:color w:val="auto"/>
        </w:rPr>
      </w:pPr>
      <w:r>
        <w:rPr>
          <w:color w:val="auto"/>
        </w:rPr>
        <w:t xml:space="preserve">The 22/23 funding round is the last of the current three year cycle of the </w:t>
      </w:r>
      <w:proofErr w:type="spellStart"/>
      <w:r>
        <w:rPr>
          <w:color w:val="auto"/>
        </w:rPr>
        <w:t>SVF</w:t>
      </w:r>
      <w:proofErr w:type="spellEnd"/>
      <w:r>
        <w:rPr>
          <w:color w:val="auto"/>
        </w:rPr>
        <w:t xml:space="preserve">. In this round, organisations will be able to bid for funding for projects in financial year 2022/23 only. </w:t>
      </w:r>
      <w:r w:rsidR="006B2E5F" w:rsidRPr="00F649DD">
        <w:rPr>
          <w:color w:val="auto"/>
        </w:rPr>
        <w:t>Funding</w:t>
      </w:r>
      <w:r w:rsidR="006B2E5F">
        <w:rPr>
          <w:color w:val="auto"/>
        </w:rPr>
        <w:t xml:space="preserve"> awarded for 2022/23 </w:t>
      </w:r>
      <w:r w:rsidR="006B2E5F" w:rsidRPr="00F649DD">
        <w:rPr>
          <w:color w:val="auto"/>
        </w:rPr>
        <w:t>must be spent before the end of the financial year (31 March 20</w:t>
      </w:r>
      <w:r w:rsidR="006B2E5F">
        <w:rPr>
          <w:color w:val="auto"/>
        </w:rPr>
        <w:t>23</w:t>
      </w:r>
      <w:r w:rsidR="006B2E5F" w:rsidRPr="00F649DD">
        <w:rPr>
          <w:color w:val="auto"/>
        </w:rPr>
        <w:t xml:space="preserve">). </w:t>
      </w:r>
    </w:p>
    <w:p w14:paraId="10CE2D09" w14:textId="77777777" w:rsidR="00D30023" w:rsidRDefault="00D30023" w:rsidP="00D30023">
      <w:pPr>
        <w:pStyle w:val="Default"/>
        <w:ind w:left="426"/>
        <w:rPr>
          <w:color w:val="auto"/>
        </w:rPr>
      </w:pPr>
    </w:p>
    <w:p w14:paraId="6A151B92" w14:textId="79EF8A3B" w:rsidR="00D30023" w:rsidRDefault="00876CF3" w:rsidP="003037F5">
      <w:pPr>
        <w:pStyle w:val="Default"/>
        <w:numPr>
          <w:ilvl w:val="0"/>
          <w:numId w:val="15"/>
        </w:numPr>
        <w:ind w:left="426" w:hanging="426"/>
        <w:rPr>
          <w:color w:val="auto"/>
        </w:rPr>
      </w:pPr>
      <w:r>
        <w:rPr>
          <w:color w:val="auto"/>
        </w:rPr>
        <w:t>T</w:t>
      </w:r>
      <w:r w:rsidR="00D30023">
        <w:rPr>
          <w:color w:val="auto"/>
        </w:rPr>
        <w:t>he maximum grant per project will normally be capped at £</w:t>
      </w:r>
      <w:r w:rsidR="000C202B">
        <w:rPr>
          <w:color w:val="auto"/>
        </w:rPr>
        <w:t>50</w:t>
      </w:r>
      <w:r w:rsidR="00D30023">
        <w:rPr>
          <w:color w:val="auto"/>
        </w:rPr>
        <w:t>,000 per annum</w:t>
      </w:r>
      <w:r w:rsidR="000C202B">
        <w:rPr>
          <w:color w:val="auto"/>
        </w:rPr>
        <w:t>.</w:t>
      </w:r>
      <w:r w:rsidR="00D30023">
        <w:rPr>
          <w:color w:val="auto"/>
        </w:rPr>
        <w:t xml:space="preserve"> </w:t>
      </w:r>
      <w:r w:rsidR="000C202B">
        <w:rPr>
          <w:color w:val="auto"/>
        </w:rPr>
        <w:t xml:space="preserve">We </w:t>
      </w:r>
      <w:r>
        <w:t>welcome bi</w:t>
      </w:r>
      <w:r w:rsidR="000C202B">
        <w:t>ds for projects of all sizes within that upper limit.</w:t>
      </w:r>
      <w:r w:rsidR="000C202B" w:rsidDel="000C202B">
        <w:rPr>
          <w:color w:val="auto"/>
        </w:rPr>
        <w:t xml:space="preserve"> </w:t>
      </w:r>
      <w:r w:rsidR="000C202B">
        <w:rPr>
          <w:color w:val="auto"/>
        </w:rPr>
        <w:t>I</w:t>
      </w:r>
      <w:r w:rsidR="00D30023">
        <w:rPr>
          <w:color w:val="auto"/>
        </w:rPr>
        <w:t>n exceptional circumstances, for example collaborative bids from a consortium of organisations, these caps may be r</w:t>
      </w:r>
      <w:r w:rsidR="000C202B">
        <w:rPr>
          <w:color w:val="auto"/>
        </w:rPr>
        <w:t>aised</w:t>
      </w:r>
      <w:r w:rsidR="00D30023">
        <w:rPr>
          <w:color w:val="auto"/>
        </w:rPr>
        <w:t>.</w:t>
      </w:r>
      <w:r w:rsidR="000C202B">
        <w:rPr>
          <w:color w:val="auto"/>
        </w:rPr>
        <w:t xml:space="preserve"> </w:t>
      </w:r>
    </w:p>
    <w:p w14:paraId="46CF9B43" w14:textId="77777777" w:rsidR="00622F92" w:rsidRPr="00C806F2" w:rsidRDefault="00622F92" w:rsidP="00622F92">
      <w:pPr>
        <w:pStyle w:val="Default"/>
        <w:rPr>
          <w:color w:val="auto"/>
        </w:rPr>
      </w:pPr>
    </w:p>
    <w:p w14:paraId="25843BDF" w14:textId="7596F43D" w:rsidR="00F649DD" w:rsidRPr="00C806F2" w:rsidRDefault="00876CF3" w:rsidP="00F649DD">
      <w:pPr>
        <w:pStyle w:val="Default"/>
        <w:numPr>
          <w:ilvl w:val="0"/>
          <w:numId w:val="15"/>
        </w:numPr>
        <w:ind w:left="426" w:hanging="426"/>
        <w:rPr>
          <w:color w:val="auto"/>
        </w:rPr>
      </w:pPr>
      <w:r>
        <w:rPr>
          <w:color w:val="auto"/>
        </w:rPr>
        <w:t>The</w:t>
      </w:r>
      <w:r w:rsidR="00F649DD" w:rsidRPr="00C806F2">
        <w:rPr>
          <w:color w:val="auto"/>
        </w:rPr>
        <w:t xml:space="preserve"> </w:t>
      </w:r>
      <w:proofErr w:type="spellStart"/>
      <w:r w:rsidR="00F649DD" w:rsidRPr="00C806F2">
        <w:rPr>
          <w:color w:val="auto"/>
        </w:rPr>
        <w:t>SVF</w:t>
      </w:r>
      <w:proofErr w:type="spellEnd"/>
      <w:r w:rsidR="00F649DD" w:rsidRPr="00C806F2">
        <w:rPr>
          <w:color w:val="auto"/>
        </w:rPr>
        <w:t xml:space="preserve"> has a finite level of resources available for distribution</w:t>
      </w:r>
      <w:r w:rsidR="007D30AA">
        <w:rPr>
          <w:color w:val="auto"/>
        </w:rPr>
        <w:t>, therefore</w:t>
      </w:r>
      <w:r w:rsidR="00F649DD" w:rsidRPr="00C806F2">
        <w:rPr>
          <w:color w:val="auto"/>
        </w:rPr>
        <w:t xml:space="preserve"> </w:t>
      </w:r>
      <w:r w:rsidR="007D30AA">
        <w:rPr>
          <w:color w:val="auto"/>
        </w:rPr>
        <w:t>w</w:t>
      </w:r>
      <w:r w:rsidR="00F649DD" w:rsidRPr="00C806F2">
        <w:rPr>
          <w:color w:val="auto"/>
        </w:rPr>
        <w:t xml:space="preserve">here the cost of a project is expected to be in excess of </w:t>
      </w:r>
      <w:r w:rsidR="00F649DD">
        <w:rPr>
          <w:color w:val="auto"/>
        </w:rPr>
        <w:t>specified above</w:t>
      </w:r>
      <w:r w:rsidR="00F649DD" w:rsidRPr="00C806F2">
        <w:rPr>
          <w:color w:val="auto"/>
        </w:rPr>
        <w:t xml:space="preserve">, applicants are advised to explore alternative avenues of funding, such as the Armed Forces Covenant Fund, the Big Lottery Fund or other charitable organisations and foundations. </w:t>
      </w:r>
    </w:p>
    <w:p w14:paraId="5CF9AE61" w14:textId="77777777" w:rsidR="00F649DD" w:rsidRPr="00C806F2" w:rsidRDefault="00F649DD" w:rsidP="00F649DD">
      <w:pPr>
        <w:pStyle w:val="Default"/>
        <w:ind w:left="426" w:hanging="426"/>
        <w:rPr>
          <w:color w:val="auto"/>
        </w:rPr>
      </w:pPr>
    </w:p>
    <w:p w14:paraId="2F3C8305" w14:textId="1948C831" w:rsidR="00F649DD" w:rsidRPr="006B2E5F" w:rsidRDefault="00F649DD" w:rsidP="001E18FB">
      <w:pPr>
        <w:pStyle w:val="Default"/>
        <w:numPr>
          <w:ilvl w:val="0"/>
          <w:numId w:val="15"/>
        </w:numPr>
        <w:ind w:left="426" w:hanging="426"/>
        <w:rPr>
          <w:color w:val="auto"/>
        </w:rPr>
      </w:pPr>
      <w:r w:rsidRPr="00F649DD">
        <w:rPr>
          <w:color w:val="auto"/>
        </w:rPr>
        <w:t xml:space="preserve">Funding may be awarded to successful projects in full or in part over a period of </w:t>
      </w:r>
      <w:r w:rsidR="007D30AA">
        <w:rPr>
          <w:color w:val="auto"/>
        </w:rPr>
        <w:t xml:space="preserve">one </w:t>
      </w:r>
      <w:r w:rsidR="006B2E5F">
        <w:rPr>
          <w:color w:val="auto"/>
        </w:rPr>
        <w:t>year</w:t>
      </w:r>
      <w:r w:rsidRPr="00F649DD">
        <w:rPr>
          <w:color w:val="auto"/>
        </w:rPr>
        <w:t>, depending on operational need and strength of business case, or not at all.</w:t>
      </w:r>
      <w:r w:rsidR="000C202B">
        <w:rPr>
          <w:color w:val="auto"/>
        </w:rPr>
        <w:t xml:space="preserve"> </w:t>
      </w:r>
    </w:p>
    <w:p w14:paraId="73EF6FBC" w14:textId="77777777" w:rsidR="00622F92" w:rsidRPr="00C806F2" w:rsidRDefault="00622F92" w:rsidP="00622F92">
      <w:pPr>
        <w:pStyle w:val="Default"/>
        <w:rPr>
          <w:color w:val="auto"/>
        </w:rPr>
      </w:pPr>
    </w:p>
    <w:p w14:paraId="439E79A8" w14:textId="77777777" w:rsidR="00622F92" w:rsidRPr="00C806F2" w:rsidRDefault="00622F92" w:rsidP="00C27A0B">
      <w:pPr>
        <w:pStyle w:val="Default"/>
        <w:numPr>
          <w:ilvl w:val="0"/>
          <w:numId w:val="15"/>
        </w:numPr>
        <w:ind w:left="426" w:hanging="426"/>
        <w:rPr>
          <w:color w:val="auto"/>
        </w:rPr>
      </w:pPr>
      <w:r w:rsidRPr="00C806F2">
        <w:rPr>
          <w:color w:val="auto"/>
        </w:rPr>
        <w:t xml:space="preserve">Administrative costs will be considered on a case-by-case basis. Applicants will need to demonstrate a very strong rationale for administration costs with a clear link to project outcomes. Evidence should be provided that these are being kept to a small proportion of the overall costs. </w:t>
      </w:r>
    </w:p>
    <w:p w14:paraId="31ADED56" w14:textId="77777777" w:rsidR="00814AEE" w:rsidRPr="00C806F2" w:rsidRDefault="00814AEE" w:rsidP="00814AEE">
      <w:pPr>
        <w:pStyle w:val="Default"/>
        <w:rPr>
          <w:color w:val="FFFFFF"/>
        </w:rPr>
      </w:pPr>
      <w:r w:rsidRPr="00C806F2">
        <w:rPr>
          <w:b/>
          <w:bCs/>
          <w:color w:val="FFFFFF"/>
        </w:rPr>
        <w:t xml:space="preserve">ESSENTIAL ELIGIBILITY CRITERIA </w:t>
      </w:r>
    </w:p>
    <w:p w14:paraId="7876C4C5" w14:textId="77777777" w:rsidR="00814AEE" w:rsidRPr="00104C44" w:rsidRDefault="00814AEE" w:rsidP="00814AEE">
      <w:pPr>
        <w:pStyle w:val="Heading11"/>
        <w:spacing w:line="240" w:lineRule="auto"/>
        <w:rPr>
          <w:rFonts w:ascii="Arial" w:hAnsi="Arial" w:cs="Arial"/>
          <w:sz w:val="28"/>
          <w:szCs w:val="24"/>
        </w:rPr>
      </w:pPr>
      <w:r w:rsidRPr="00104C44">
        <w:rPr>
          <w:rFonts w:ascii="Arial" w:hAnsi="Arial" w:cs="Arial"/>
          <w:sz w:val="28"/>
          <w:szCs w:val="24"/>
        </w:rPr>
        <w:t xml:space="preserve">Essential Eligibility Criteria </w:t>
      </w:r>
    </w:p>
    <w:p w14:paraId="7F67B32C" w14:textId="77777777" w:rsidR="00814AEE" w:rsidRPr="00C806F2" w:rsidRDefault="00814AEE" w:rsidP="00814AEE">
      <w:pPr>
        <w:pStyle w:val="Default"/>
        <w:rPr>
          <w:b/>
          <w:bCs/>
        </w:rPr>
      </w:pPr>
    </w:p>
    <w:p w14:paraId="485197B2" w14:textId="77777777" w:rsidR="00814AEE" w:rsidRPr="00C806F2" w:rsidRDefault="00814AEE" w:rsidP="00104C44">
      <w:pPr>
        <w:pStyle w:val="Default"/>
        <w:rPr>
          <w:b/>
          <w:bCs/>
        </w:rPr>
      </w:pPr>
      <w:r w:rsidRPr="00C806F2">
        <w:rPr>
          <w:b/>
          <w:bCs/>
        </w:rPr>
        <w:t xml:space="preserve">Legal Person </w:t>
      </w:r>
    </w:p>
    <w:p w14:paraId="7D35531D" w14:textId="77777777" w:rsidR="00814AEE" w:rsidRPr="00C806F2" w:rsidRDefault="00814AEE" w:rsidP="00104C44">
      <w:pPr>
        <w:pStyle w:val="Default"/>
      </w:pPr>
    </w:p>
    <w:p w14:paraId="01C27C5F" w14:textId="77777777" w:rsidR="00814AEE" w:rsidRPr="00C806F2" w:rsidRDefault="00814AEE" w:rsidP="00C27A0B">
      <w:pPr>
        <w:pStyle w:val="Default"/>
        <w:numPr>
          <w:ilvl w:val="0"/>
          <w:numId w:val="15"/>
        </w:numPr>
        <w:ind w:left="426" w:hanging="426"/>
        <w:rPr>
          <w:color w:val="auto"/>
        </w:rPr>
      </w:pPr>
      <w:r w:rsidRPr="00C806F2">
        <w:rPr>
          <w:color w:val="auto"/>
        </w:rPr>
        <w:t xml:space="preserve">Applicant organisations must constitute a “legal person”, meaning it is legally constituted and can enter into a contract in its own right. For example, in respect </w:t>
      </w:r>
      <w:r w:rsidRPr="00C806F2">
        <w:rPr>
          <w:color w:val="auto"/>
        </w:rPr>
        <w:lastRenderedPageBreak/>
        <w:t xml:space="preserve">of the organisations that typically apply to the </w:t>
      </w:r>
      <w:proofErr w:type="spellStart"/>
      <w:r w:rsidRPr="00C806F2">
        <w:rPr>
          <w:color w:val="auto"/>
        </w:rPr>
        <w:t>SVF</w:t>
      </w:r>
      <w:proofErr w:type="spellEnd"/>
      <w:r w:rsidRPr="00C806F2">
        <w:rPr>
          <w:color w:val="auto"/>
        </w:rPr>
        <w:t xml:space="preserve">, applicants may be a Scottish Charitable Incorporated Organisation (SCIO), a new legal form for registered Scottish charities, or a registered company. Registered company applicants (whether a limited company or a company limited by guarantee) will typically be not-for-profit and may also have separate charitable status as a registered charity. Statutory bodies are also eligible to apply. </w:t>
      </w:r>
    </w:p>
    <w:p w14:paraId="1D29ED4E" w14:textId="77777777" w:rsidR="00814AEE" w:rsidRPr="00C806F2" w:rsidRDefault="00814AEE" w:rsidP="00104C44">
      <w:pPr>
        <w:pStyle w:val="Default"/>
        <w:rPr>
          <w:color w:val="auto"/>
        </w:rPr>
      </w:pPr>
    </w:p>
    <w:p w14:paraId="6C8183EE" w14:textId="77777777" w:rsidR="00814AEE" w:rsidRPr="00C806F2" w:rsidRDefault="00814AEE" w:rsidP="00C27A0B">
      <w:pPr>
        <w:pStyle w:val="Default"/>
        <w:numPr>
          <w:ilvl w:val="0"/>
          <w:numId w:val="15"/>
        </w:numPr>
        <w:ind w:left="426" w:hanging="426"/>
        <w:rPr>
          <w:color w:val="auto"/>
        </w:rPr>
      </w:pPr>
      <w:r w:rsidRPr="00C806F2">
        <w:rPr>
          <w:color w:val="auto"/>
        </w:rPr>
        <w:t xml:space="preserve">Please note that unincorporated organisations, even where a registered charity, are not eligible to apply. In that event, the Scottish Government recommends that consideration is given to becoming a SCIO or registered company to apply in future. </w:t>
      </w:r>
    </w:p>
    <w:p w14:paraId="3FAF33F4" w14:textId="77777777" w:rsidR="00814AEE" w:rsidRPr="00C806F2" w:rsidRDefault="00814AEE" w:rsidP="00104C44">
      <w:pPr>
        <w:pStyle w:val="Default"/>
      </w:pPr>
    </w:p>
    <w:p w14:paraId="3F68E019" w14:textId="77777777" w:rsidR="00814AEE" w:rsidRPr="00C806F2" w:rsidRDefault="00814AEE" w:rsidP="00104C44">
      <w:pPr>
        <w:pStyle w:val="Default"/>
        <w:rPr>
          <w:b/>
          <w:bCs/>
        </w:rPr>
      </w:pPr>
      <w:r w:rsidRPr="00C806F2">
        <w:rPr>
          <w:b/>
          <w:bCs/>
        </w:rPr>
        <w:t xml:space="preserve">Presence in Scotland </w:t>
      </w:r>
    </w:p>
    <w:p w14:paraId="3569EB5C" w14:textId="77777777" w:rsidR="00814AEE" w:rsidRPr="00C806F2" w:rsidRDefault="00814AEE" w:rsidP="00104C44">
      <w:pPr>
        <w:pStyle w:val="Default"/>
      </w:pPr>
    </w:p>
    <w:p w14:paraId="3B76FED1" w14:textId="77777777" w:rsidR="00814AEE" w:rsidRPr="00C806F2" w:rsidRDefault="00814AEE" w:rsidP="00C27A0B">
      <w:pPr>
        <w:pStyle w:val="Default"/>
        <w:numPr>
          <w:ilvl w:val="0"/>
          <w:numId w:val="15"/>
        </w:numPr>
        <w:ind w:left="426" w:hanging="426"/>
        <w:rPr>
          <w:color w:val="auto"/>
        </w:rPr>
      </w:pPr>
      <w:r w:rsidRPr="00C806F2">
        <w:rPr>
          <w:color w:val="auto"/>
        </w:rPr>
        <w:t xml:space="preserve">Organisations applying for funding must have a presence in Scotland. Alternatively, applications submitted by a partnership must include a lead organisation based within Scotland. For the purposes of this Fund, ‘a presence in Scotland’ means that the applicant must comply with one of the following: </w:t>
      </w:r>
    </w:p>
    <w:p w14:paraId="5F1A5BF6" w14:textId="77777777" w:rsidR="00814AEE" w:rsidRPr="00C806F2" w:rsidRDefault="00814AEE" w:rsidP="00104C44">
      <w:pPr>
        <w:pStyle w:val="Default"/>
        <w:rPr>
          <w:color w:val="auto"/>
        </w:rPr>
      </w:pPr>
    </w:p>
    <w:p w14:paraId="1146C383" w14:textId="77777777" w:rsidR="00814AEE" w:rsidRPr="00C806F2" w:rsidRDefault="00814AEE" w:rsidP="00104C44">
      <w:pPr>
        <w:pStyle w:val="Default"/>
        <w:rPr>
          <w:color w:val="auto"/>
        </w:rPr>
      </w:pPr>
      <w:r w:rsidRPr="00C806F2">
        <w:rPr>
          <w:color w:val="auto"/>
        </w:rPr>
        <w:tab/>
        <w:t xml:space="preserve">(a) be a Scottish Charitable Incorporated Organisation (“SCIO”); or </w:t>
      </w:r>
    </w:p>
    <w:p w14:paraId="62C73594" w14:textId="77777777" w:rsidR="00814AEE" w:rsidRPr="00C806F2" w:rsidRDefault="00814AEE" w:rsidP="00104C44">
      <w:pPr>
        <w:pStyle w:val="Default"/>
        <w:rPr>
          <w:color w:val="auto"/>
        </w:rPr>
      </w:pPr>
    </w:p>
    <w:p w14:paraId="0F5F696D" w14:textId="77777777" w:rsidR="00814AEE" w:rsidRPr="00C806F2" w:rsidRDefault="00814AEE" w:rsidP="002F68EE">
      <w:pPr>
        <w:pStyle w:val="Default"/>
        <w:ind w:left="709" w:hanging="709"/>
        <w:rPr>
          <w:color w:val="auto"/>
        </w:rPr>
      </w:pPr>
      <w:r w:rsidRPr="00C806F2">
        <w:rPr>
          <w:color w:val="auto"/>
        </w:rPr>
        <w:tab/>
        <w:t xml:space="preserve">(b) be a Company registered (under the Companies Act 2006) with their Head Office in Scotland; or </w:t>
      </w:r>
    </w:p>
    <w:p w14:paraId="5A5C3B56" w14:textId="77777777" w:rsidR="00814AEE" w:rsidRPr="00C806F2" w:rsidRDefault="00814AEE" w:rsidP="00104C44">
      <w:pPr>
        <w:pStyle w:val="Default"/>
        <w:rPr>
          <w:color w:val="auto"/>
        </w:rPr>
      </w:pPr>
    </w:p>
    <w:p w14:paraId="1F5D29B0" w14:textId="77777777" w:rsidR="00814AEE" w:rsidRPr="00C806F2" w:rsidRDefault="00814AEE" w:rsidP="00104C44">
      <w:pPr>
        <w:autoSpaceDE w:val="0"/>
        <w:autoSpaceDN w:val="0"/>
        <w:adjustRightInd w:val="0"/>
        <w:spacing w:line="240" w:lineRule="auto"/>
        <w:ind w:left="720" w:hanging="360"/>
        <w:jc w:val="left"/>
        <w:rPr>
          <w:rFonts w:cs="Arial"/>
          <w:szCs w:val="24"/>
          <w:lang w:eastAsia="en-GB"/>
        </w:rPr>
      </w:pPr>
      <w:r w:rsidRPr="00C806F2">
        <w:rPr>
          <w:szCs w:val="24"/>
        </w:rPr>
        <w:tab/>
      </w:r>
      <w:r w:rsidRPr="00C806F2">
        <w:rPr>
          <w:rFonts w:cs="Arial"/>
          <w:szCs w:val="24"/>
          <w:lang w:eastAsia="en-GB"/>
        </w:rPr>
        <w:t xml:space="preserve">(c) be a charity registered in Scotland (under the Charities and Trustee Investment (Scotland) Act 2005); or </w:t>
      </w:r>
    </w:p>
    <w:p w14:paraId="5414F770" w14:textId="77777777" w:rsidR="00814AEE" w:rsidRPr="00C806F2" w:rsidRDefault="00814AEE" w:rsidP="00104C44">
      <w:pPr>
        <w:pStyle w:val="Default"/>
        <w:rPr>
          <w:color w:val="auto"/>
        </w:rPr>
      </w:pPr>
    </w:p>
    <w:p w14:paraId="43656DDC" w14:textId="77777777" w:rsidR="00814AEE" w:rsidRPr="00C806F2" w:rsidRDefault="00814AEE" w:rsidP="00104C44">
      <w:pPr>
        <w:autoSpaceDE w:val="0"/>
        <w:autoSpaceDN w:val="0"/>
        <w:adjustRightInd w:val="0"/>
        <w:spacing w:line="240" w:lineRule="auto"/>
        <w:ind w:left="720" w:hanging="360"/>
        <w:jc w:val="left"/>
        <w:rPr>
          <w:rFonts w:cs="Arial"/>
          <w:szCs w:val="24"/>
          <w:lang w:eastAsia="en-GB"/>
        </w:rPr>
      </w:pPr>
      <w:r w:rsidRPr="00C806F2">
        <w:rPr>
          <w:szCs w:val="24"/>
        </w:rPr>
        <w:tab/>
      </w:r>
      <w:r w:rsidRPr="00C806F2">
        <w:rPr>
          <w:rFonts w:cs="Arial"/>
          <w:szCs w:val="24"/>
          <w:lang w:eastAsia="en-GB"/>
        </w:rPr>
        <w:t xml:space="preserve">(d) occupy offices or premises in Scotland provided these will be used in connection with the use or administration of funds paid to organisation through this Fund. </w:t>
      </w:r>
    </w:p>
    <w:p w14:paraId="25347986" w14:textId="77777777" w:rsidR="00814AEE" w:rsidRPr="00C806F2" w:rsidRDefault="00814AEE" w:rsidP="00104C44">
      <w:pPr>
        <w:pStyle w:val="Default"/>
        <w:rPr>
          <w:color w:val="auto"/>
        </w:rPr>
      </w:pPr>
    </w:p>
    <w:p w14:paraId="6926D308" w14:textId="77777777" w:rsidR="006E68AA" w:rsidRDefault="00814AEE" w:rsidP="00756599">
      <w:pPr>
        <w:pStyle w:val="Default"/>
        <w:numPr>
          <w:ilvl w:val="0"/>
          <w:numId w:val="15"/>
        </w:numPr>
        <w:ind w:left="426" w:hanging="426"/>
      </w:pPr>
      <w:r w:rsidRPr="00C806F2">
        <w:rPr>
          <w:color w:val="auto"/>
        </w:rPr>
        <w:t xml:space="preserve">Applications submitted by a partnership must include a lead organisation based within Scotland. There must be a named Project Manager in Scotland who can discuss progress of the project with grant providers, as and when required. It will be the Scottish-based applicant organisation who will enter into the grant contract and have overall responsibility for delivery, including management of the budget. </w:t>
      </w:r>
    </w:p>
    <w:p w14:paraId="117AD371" w14:textId="77777777" w:rsidR="006E68AA" w:rsidRPr="00C806F2" w:rsidRDefault="006E68AA" w:rsidP="00814AEE">
      <w:pPr>
        <w:pStyle w:val="Default"/>
      </w:pPr>
    </w:p>
    <w:p w14:paraId="300E615B" w14:textId="77777777" w:rsidR="00814AEE" w:rsidRPr="00104C44" w:rsidRDefault="00814AEE" w:rsidP="00814AEE">
      <w:pPr>
        <w:pStyle w:val="Heading11"/>
        <w:spacing w:line="240" w:lineRule="auto"/>
        <w:rPr>
          <w:rFonts w:ascii="Arial" w:hAnsi="Arial" w:cs="Arial"/>
          <w:sz w:val="28"/>
          <w:szCs w:val="24"/>
        </w:rPr>
      </w:pPr>
      <w:r w:rsidRPr="00104C44">
        <w:rPr>
          <w:rFonts w:ascii="Arial" w:hAnsi="Arial" w:cs="Arial"/>
          <w:sz w:val="28"/>
          <w:szCs w:val="24"/>
        </w:rPr>
        <w:t>how to complete your application form</w:t>
      </w:r>
    </w:p>
    <w:p w14:paraId="32B9A897" w14:textId="77777777" w:rsidR="00814AEE" w:rsidRPr="00C806F2" w:rsidRDefault="00814AEE" w:rsidP="00814AEE">
      <w:pPr>
        <w:pStyle w:val="Default"/>
      </w:pPr>
    </w:p>
    <w:p w14:paraId="17857C1B" w14:textId="77777777" w:rsidR="00814AEE" w:rsidRDefault="00814AEE" w:rsidP="00C27A0B">
      <w:pPr>
        <w:pStyle w:val="Default"/>
        <w:numPr>
          <w:ilvl w:val="0"/>
          <w:numId w:val="15"/>
        </w:numPr>
        <w:ind w:left="426" w:hanging="426"/>
        <w:rPr>
          <w:color w:val="auto"/>
        </w:rPr>
      </w:pPr>
      <w:r w:rsidRPr="00C806F2">
        <w:rPr>
          <w:color w:val="auto"/>
        </w:rPr>
        <w:t>Application forms are available</w:t>
      </w:r>
      <w:bookmarkStart w:id="2" w:name="_GoBack"/>
      <w:r w:rsidRPr="0045755D">
        <w:rPr>
          <w:color w:val="000000" w:themeColor="text1"/>
        </w:rPr>
        <w:t xml:space="preserve"> on the Veterans Scotland website. Only </w:t>
      </w:r>
      <w:bookmarkEnd w:id="2"/>
      <w:r w:rsidRPr="00C806F2">
        <w:rPr>
          <w:color w:val="auto"/>
        </w:rPr>
        <w:t xml:space="preserve">applications made on the application form and submitted by the closing date will be considered. Augmenting material in support of an application may be provided under separate cover. </w:t>
      </w:r>
    </w:p>
    <w:p w14:paraId="76F6C3B7" w14:textId="77777777" w:rsidR="00622F92" w:rsidRDefault="00622F92" w:rsidP="00622F92">
      <w:pPr>
        <w:pStyle w:val="Default"/>
        <w:ind w:left="426"/>
        <w:rPr>
          <w:color w:val="auto"/>
        </w:rPr>
      </w:pPr>
    </w:p>
    <w:p w14:paraId="73BF2E40" w14:textId="77777777" w:rsidR="00622F92" w:rsidRPr="00622F92" w:rsidRDefault="00622F92" w:rsidP="00622F92">
      <w:pPr>
        <w:pStyle w:val="Default"/>
        <w:numPr>
          <w:ilvl w:val="0"/>
          <w:numId w:val="15"/>
        </w:numPr>
        <w:ind w:left="426" w:hanging="426"/>
        <w:rPr>
          <w:color w:val="auto"/>
        </w:rPr>
      </w:pPr>
      <w:r w:rsidRPr="00C806F2">
        <w:rPr>
          <w:color w:val="auto"/>
        </w:rPr>
        <w:t xml:space="preserve">Before recommending a bid, the </w:t>
      </w:r>
      <w:proofErr w:type="spellStart"/>
      <w:r w:rsidRPr="00C806F2">
        <w:rPr>
          <w:color w:val="auto"/>
        </w:rPr>
        <w:t>SVF</w:t>
      </w:r>
      <w:proofErr w:type="spellEnd"/>
      <w:r w:rsidRPr="00C806F2">
        <w:rPr>
          <w:color w:val="auto"/>
        </w:rPr>
        <w:t xml:space="preserve"> panel must be satisfied that the applicant organisation has sufficient competency to deliver the project and to apply sound financial management. All projects must demonstrate a strong and robust business case, including sound financial and management arrangements. It is essential that all bids represent value for money and include evidence that </w:t>
      </w:r>
      <w:r w:rsidRPr="00C806F2">
        <w:rPr>
          <w:color w:val="auto"/>
        </w:rPr>
        <w:lastRenderedPageBreak/>
        <w:t xml:space="preserve">grants will be spent effectively. Applicants must submit a summary copy of their last three audited accounts as evidence of current financial viability (or reports since trading commenced). </w:t>
      </w:r>
    </w:p>
    <w:p w14:paraId="085E4750" w14:textId="77777777" w:rsidR="00814AEE" w:rsidRPr="00C806F2" w:rsidRDefault="00814AEE" w:rsidP="00104C44">
      <w:pPr>
        <w:pStyle w:val="Default"/>
        <w:rPr>
          <w:color w:val="auto"/>
        </w:rPr>
      </w:pPr>
    </w:p>
    <w:p w14:paraId="23E2777F" w14:textId="77777777" w:rsidR="00814AEE" w:rsidRDefault="00814AEE" w:rsidP="00C27A0B">
      <w:pPr>
        <w:pStyle w:val="Default"/>
        <w:numPr>
          <w:ilvl w:val="0"/>
          <w:numId w:val="15"/>
        </w:numPr>
        <w:ind w:left="426" w:hanging="426"/>
        <w:rPr>
          <w:b/>
          <w:color w:val="auto"/>
        </w:rPr>
      </w:pPr>
      <w:r w:rsidRPr="00C806F2">
        <w:rPr>
          <w:color w:val="auto"/>
        </w:rPr>
        <w:t xml:space="preserve">Panel members will have a large amount of paperwork to consider so </w:t>
      </w:r>
      <w:r w:rsidRPr="00C806F2">
        <w:rPr>
          <w:b/>
          <w:color w:val="auto"/>
        </w:rPr>
        <w:t xml:space="preserve">please note and respect the word count for each part of the form. </w:t>
      </w:r>
    </w:p>
    <w:p w14:paraId="420EF5CA" w14:textId="77777777" w:rsidR="0059293B" w:rsidRDefault="0059293B" w:rsidP="0059293B">
      <w:pPr>
        <w:pStyle w:val="Default"/>
        <w:ind w:left="426"/>
        <w:rPr>
          <w:b/>
          <w:color w:val="auto"/>
        </w:rPr>
      </w:pPr>
    </w:p>
    <w:p w14:paraId="52F81821" w14:textId="77777777" w:rsidR="006E68AA" w:rsidRDefault="0059293B" w:rsidP="00756599">
      <w:pPr>
        <w:pStyle w:val="Default"/>
        <w:rPr>
          <w:b/>
          <w:color w:val="auto"/>
        </w:rPr>
      </w:pPr>
      <w:r w:rsidRPr="00756599">
        <w:rPr>
          <w:b/>
          <w:color w:val="auto"/>
        </w:rPr>
        <w:t xml:space="preserve">Section </w:t>
      </w:r>
      <w:r w:rsidR="006E68AA">
        <w:rPr>
          <w:b/>
          <w:color w:val="auto"/>
        </w:rPr>
        <w:t>1</w:t>
      </w:r>
      <w:r w:rsidRPr="0059293B">
        <w:rPr>
          <w:b/>
          <w:color w:val="auto"/>
        </w:rPr>
        <w:t>: Organisation details</w:t>
      </w:r>
    </w:p>
    <w:p w14:paraId="12C28A59" w14:textId="77777777" w:rsidR="006E68AA" w:rsidRDefault="006E68AA" w:rsidP="00756599">
      <w:pPr>
        <w:pStyle w:val="Default"/>
        <w:ind w:left="426"/>
        <w:rPr>
          <w:b/>
          <w:color w:val="auto"/>
        </w:rPr>
      </w:pPr>
    </w:p>
    <w:p w14:paraId="4C424270" w14:textId="77777777" w:rsidR="0059293B" w:rsidRPr="00C806F2" w:rsidRDefault="006E68AA">
      <w:pPr>
        <w:pStyle w:val="Default"/>
        <w:numPr>
          <w:ilvl w:val="0"/>
          <w:numId w:val="15"/>
        </w:numPr>
        <w:ind w:left="426" w:hanging="426"/>
        <w:rPr>
          <w:b/>
          <w:color w:val="auto"/>
        </w:rPr>
      </w:pPr>
      <w:r>
        <w:rPr>
          <w:color w:val="auto"/>
        </w:rPr>
        <w:t>I</w:t>
      </w:r>
      <w:r w:rsidR="008C12E6">
        <w:rPr>
          <w:color w:val="auto"/>
        </w:rPr>
        <w:t xml:space="preserve">f you are applying as part of a </w:t>
      </w:r>
      <w:r w:rsidR="003831C3">
        <w:rPr>
          <w:color w:val="auto"/>
        </w:rPr>
        <w:t xml:space="preserve">consortium </w:t>
      </w:r>
      <w:r w:rsidR="007B0E3B">
        <w:rPr>
          <w:color w:val="auto"/>
        </w:rPr>
        <w:t xml:space="preserve">bid </w:t>
      </w:r>
      <w:r w:rsidR="008C12E6">
        <w:rPr>
          <w:color w:val="auto"/>
        </w:rPr>
        <w:t xml:space="preserve">between more than one organisation, please provide the details of the lead organisation in section 1. </w:t>
      </w:r>
      <w:r w:rsidR="00750206">
        <w:rPr>
          <w:color w:val="auto"/>
        </w:rPr>
        <w:t>If applicable t</w:t>
      </w:r>
      <w:r w:rsidR="008C12E6">
        <w:rPr>
          <w:color w:val="auto"/>
        </w:rPr>
        <w:t xml:space="preserve">he details of the other organisations within the </w:t>
      </w:r>
      <w:r w:rsidR="007B0E3B">
        <w:rPr>
          <w:color w:val="auto"/>
        </w:rPr>
        <w:t xml:space="preserve">consortium </w:t>
      </w:r>
      <w:r w:rsidR="008C12E6">
        <w:rPr>
          <w:color w:val="auto"/>
        </w:rPr>
        <w:t xml:space="preserve">can be provided </w:t>
      </w:r>
      <w:r w:rsidR="00750206">
        <w:rPr>
          <w:color w:val="auto"/>
        </w:rPr>
        <w:t xml:space="preserve">at </w:t>
      </w:r>
      <w:r w:rsidR="008C12E6" w:rsidRPr="00756599">
        <w:rPr>
          <w:b/>
        </w:rPr>
        <w:t>Annex A</w:t>
      </w:r>
      <w:r w:rsidR="008C12E6">
        <w:rPr>
          <w:color w:val="auto"/>
        </w:rPr>
        <w:t xml:space="preserve"> at the bottom of the application form. This annex can be repeated as necessary for the number of </w:t>
      </w:r>
      <w:r w:rsidR="007B0E3B">
        <w:rPr>
          <w:color w:val="auto"/>
        </w:rPr>
        <w:t xml:space="preserve">consortium </w:t>
      </w:r>
      <w:r w:rsidR="008C12E6">
        <w:rPr>
          <w:color w:val="auto"/>
        </w:rPr>
        <w:t xml:space="preserve">partners. </w:t>
      </w:r>
    </w:p>
    <w:p w14:paraId="24FB8ED1" w14:textId="77777777" w:rsidR="00814AEE" w:rsidRPr="00C806F2" w:rsidRDefault="00814AEE" w:rsidP="00104C44">
      <w:pPr>
        <w:pStyle w:val="Default"/>
        <w:rPr>
          <w:b/>
          <w:color w:val="auto"/>
        </w:rPr>
      </w:pPr>
    </w:p>
    <w:p w14:paraId="61A2B061" w14:textId="77777777" w:rsidR="00C536C6" w:rsidRDefault="0015670A" w:rsidP="00C27A0B">
      <w:pPr>
        <w:pStyle w:val="Default"/>
        <w:numPr>
          <w:ilvl w:val="0"/>
          <w:numId w:val="15"/>
        </w:numPr>
        <w:ind w:left="426" w:hanging="426"/>
      </w:pPr>
      <w:r>
        <w:rPr>
          <w:b/>
        </w:rPr>
        <w:t>Organisation’s Safeguarding Policy</w:t>
      </w:r>
      <w:r w:rsidR="006E68AA">
        <w:rPr>
          <w:b/>
        </w:rPr>
        <w:t>.</w:t>
      </w:r>
      <w:r>
        <w:rPr>
          <w:b/>
        </w:rPr>
        <w:t xml:space="preserve"> </w:t>
      </w:r>
      <w:r w:rsidR="006E68AA">
        <w:t>A</w:t>
      </w:r>
      <w:r w:rsidR="006E68AA" w:rsidRPr="00C806F2">
        <w:t xml:space="preserve">ll </w:t>
      </w:r>
      <w:r w:rsidR="00814AEE" w:rsidRPr="00C806F2">
        <w:t>applicant organisations ar</w:t>
      </w:r>
      <w:r>
        <w:t xml:space="preserve">e </w:t>
      </w:r>
      <w:r w:rsidR="00C536C6">
        <w:t>required</w:t>
      </w:r>
      <w:r>
        <w:t xml:space="preserve"> to have an appropriate s</w:t>
      </w:r>
      <w:r w:rsidR="00814AEE" w:rsidRPr="00C806F2">
        <w:t>afeguarding policy in place and provide a cop</w:t>
      </w:r>
      <w:r w:rsidR="00B34DCE" w:rsidRPr="00C806F2">
        <w:t>y</w:t>
      </w:r>
      <w:r w:rsidR="00814AEE" w:rsidRPr="00C806F2">
        <w:t xml:space="preserve"> of this along with their application. </w:t>
      </w:r>
      <w:r w:rsidR="00C536C6">
        <w:t xml:space="preserve">According to </w:t>
      </w:r>
      <w:r w:rsidR="00C536C6" w:rsidRPr="00C806F2">
        <w:t>the Office of the Scottish Charity Regulator (</w:t>
      </w:r>
      <w:proofErr w:type="spellStart"/>
      <w:r w:rsidR="00C536C6" w:rsidRPr="00C806F2">
        <w:t>OSCR</w:t>
      </w:r>
      <w:proofErr w:type="spellEnd"/>
      <w:r w:rsidR="00C536C6" w:rsidRPr="00C806F2">
        <w:t>)</w:t>
      </w:r>
      <w:r w:rsidR="00C536C6">
        <w:t>:</w:t>
      </w:r>
    </w:p>
    <w:p w14:paraId="39556BE1" w14:textId="77777777" w:rsidR="00C536C6" w:rsidRDefault="00C536C6" w:rsidP="00C536C6">
      <w:pPr>
        <w:pStyle w:val="Default"/>
      </w:pPr>
    </w:p>
    <w:p w14:paraId="1D186D22" w14:textId="77777777" w:rsidR="00C536C6" w:rsidRPr="00C536C6" w:rsidRDefault="00C536C6" w:rsidP="00C536C6">
      <w:pPr>
        <w:pStyle w:val="Default"/>
        <w:ind w:left="851" w:right="662"/>
        <w:rPr>
          <w:color w:val="auto"/>
        </w:rPr>
      </w:pPr>
      <w:r>
        <w:rPr>
          <w:color w:val="auto"/>
          <w:shd w:val="clear" w:color="auto" w:fill="FFFFFF"/>
        </w:rPr>
        <w:t>“</w:t>
      </w:r>
      <w:r w:rsidRPr="00C536C6">
        <w:rPr>
          <w:color w:val="auto"/>
          <w:shd w:val="clear" w:color="auto" w:fill="FFFFFF"/>
        </w:rPr>
        <w:t>Safeguarding is the action that an organisation takes to promote the welfare of children and vulnerable adults to protect them from harm including physical, emotional, sexual and financial harm and neglect. This includes making sure that the appropriate policies, practices and procedures are put in place. Safeguarding includes child protection but goes further and extends to all vulnerable beneficiaries.</w:t>
      </w:r>
      <w:r>
        <w:rPr>
          <w:color w:val="auto"/>
          <w:shd w:val="clear" w:color="auto" w:fill="FFFFFF"/>
        </w:rPr>
        <w:t>”</w:t>
      </w:r>
    </w:p>
    <w:p w14:paraId="4D1F7563" w14:textId="77777777" w:rsidR="00C536C6" w:rsidRDefault="00C536C6" w:rsidP="00C536C6">
      <w:pPr>
        <w:pStyle w:val="Default"/>
        <w:ind w:left="426"/>
      </w:pPr>
    </w:p>
    <w:p w14:paraId="4AE72E1B" w14:textId="77777777" w:rsidR="00814AEE" w:rsidRDefault="00814AEE" w:rsidP="006E68AA">
      <w:pPr>
        <w:pStyle w:val="Default"/>
        <w:numPr>
          <w:ilvl w:val="0"/>
          <w:numId w:val="15"/>
        </w:numPr>
        <w:ind w:left="426" w:hanging="426"/>
      </w:pPr>
      <w:r w:rsidRPr="00C806F2">
        <w:t>For further advice on what a policy may include please see the guidance provided by the Office of the Scottish Charity Regulator (</w:t>
      </w:r>
      <w:proofErr w:type="spellStart"/>
      <w:r w:rsidRPr="00C806F2">
        <w:t>OSCR</w:t>
      </w:r>
      <w:proofErr w:type="spellEnd"/>
      <w:r w:rsidRPr="00C806F2">
        <w:t>)</w:t>
      </w:r>
      <w:r w:rsidR="00C536C6">
        <w:t xml:space="preserve"> </w:t>
      </w:r>
      <w:hyperlink r:id="rId15" w:history="1">
        <w:r w:rsidR="00C536C6" w:rsidRPr="004A6C23">
          <w:rPr>
            <w:rStyle w:val="Hyperlink"/>
          </w:rPr>
          <w:t>https://www.oscr.org.uk/guidance-and-forms/safeguarding-guidance-keeping-vulnerable-beneficiaries-safe/</w:t>
        </w:r>
      </w:hyperlink>
      <w:r w:rsidR="00C536C6">
        <w:t xml:space="preserve"> or the guidance provided by the Scottish Council for Voluntary Organisations (</w:t>
      </w:r>
      <w:proofErr w:type="spellStart"/>
      <w:r w:rsidR="00C536C6">
        <w:t>SCVO</w:t>
      </w:r>
      <w:proofErr w:type="spellEnd"/>
      <w:r w:rsidR="00C536C6">
        <w:t xml:space="preserve">) </w:t>
      </w:r>
      <w:hyperlink r:id="rId16" w:history="1">
        <w:r w:rsidR="00C536C6" w:rsidRPr="004A6C23">
          <w:rPr>
            <w:rStyle w:val="Hyperlink"/>
          </w:rPr>
          <w:t>https://scvo.org.uk/running-your-organisation/staff-volunteers/safeguarding</w:t>
        </w:r>
      </w:hyperlink>
      <w:r w:rsidR="00C536C6">
        <w:t xml:space="preserve"> </w:t>
      </w:r>
    </w:p>
    <w:p w14:paraId="21E0A52A" w14:textId="77777777" w:rsidR="00ED5DA1" w:rsidRDefault="00ED5DA1" w:rsidP="00ED5DA1">
      <w:pPr>
        <w:pStyle w:val="Default"/>
        <w:ind w:left="426"/>
      </w:pPr>
    </w:p>
    <w:p w14:paraId="422D108D" w14:textId="77777777" w:rsidR="006E68AA" w:rsidRDefault="00750206" w:rsidP="00756599">
      <w:pPr>
        <w:pStyle w:val="Default"/>
        <w:rPr>
          <w:b/>
        </w:rPr>
      </w:pPr>
      <w:r w:rsidRPr="00756599">
        <w:rPr>
          <w:b/>
        </w:rPr>
        <w:t>Section 2 – Project Bid Details</w:t>
      </w:r>
    </w:p>
    <w:p w14:paraId="55E0D853" w14:textId="77777777" w:rsidR="006E68AA" w:rsidRDefault="006E68AA" w:rsidP="00756599">
      <w:pPr>
        <w:pStyle w:val="Default"/>
        <w:ind w:left="426"/>
        <w:rPr>
          <w:b/>
        </w:rPr>
      </w:pPr>
    </w:p>
    <w:p w14:paraId="2DD7BF98" w14:textId="77777777" w:rsidR="006E68AA" w:rsidRDefault="00750206" w:rsidP="00756599">
      <w:pPr>
        <w:pStyle w:val="Default"/>
        <w:numPr>
          <w:ilvl w:val="0"/>
          <w:numId w:val="15"/>
        </w:numPr>
        <w:ind w:left="426" w:hanging="426"/>
      </w:pPr>
      <w:r w:rsidRPr="00756599">
        <w:rPr>
          <w:b/>
        </w:rPr>
        <w:t>Section 2.2</w:t>
      </w:r>
      <w:r w:rsidR="006E68AA">
        <w:rPr>
          <w:b/>
        </w:rPr>
        <w:t>:</w:t>
      </w:r>
      <w:r w:rsidRPr="00756599">
        <w:rPr>
          <w:b/>
        </w:rPr>
        <w:t xml:space="preserve"> Overview of the Project</w:t>
      </w:r>
      <w:r w:rsidR="006E68AA">
        <w:rPr>
          <w:b/>
        </w:rPr>
        <w:t xml:space="preserve">. </w:t>
      </w:r>
      <w:r w:rsidR="006E68AA">
        <w:t>This</w:t>
      </w:r>
      <w:r>
        <w:t xml:space="preserve"> </w:t>
      </w:r>
      <w:r w:rsidR="006E68AA">
        <w:t xml:space="preserve">is intended to allow for the </w:t>
      </w:r>
      <w:r>
        <w:t>provi</w:t>
      </w:r>
      <w:r w:rsidR="006E68AA">
        <w:t>sion of a narrative</w:t>
      </w:r>
      <w:r>
        <w:t xml:space="preserve"> summary of the project,</w:t>
      </w:r>
      <w:r w:rsidR="006E68AA">
        <w:t xml:space="preserve"> the benefits it will bring and how it meets one or more of the aims of the </w:t>
      </w:r>
      <w:proofErr w:type="spellStart"/>
      <w:r w:rsidR="006E68AA">
        <w:t>SVF</w:t>
      </w:r>
      <w:proofErr w:type="spellEnd"/>
      <w:r w:rsidR="006E68AA">
        <w:t>. It should include:</w:t>
      </w:r>
    </w:p>
    <w:p w14:paraId="48DE0315" w14:textId="77777777" w:rsidR="006E68AA" w:rsidRDefault="006E68AA" w:rsidP="00756599">
      <w:pPr>
        <w:pStyle w:val="Default"/>
        <w:ind w:left="426"/>
      </w:pPr>
    </w:p>
    <w:p w14:paraId="082926CE" w14:textId="77777777" w:rsidR="006E68AA" w:rsidRDefault="006E68AA" w:rsidP="00756599">
      <w:pPr>
        <w:pStyle w:val="Default"/>
        <w:numPr>
          <w:ilvl w:val="1"/>
          <w:numId w:val="15"/>
        </w:numPr>
        <w:spacing w:after="120"/>
        <w:ind w:left="850" w:hanging="357"/>
      </w:pPr>
      <w:r>
        <w:t xml:space="preserve">An explicit statement of which of the aims of the </w:t>
      </w:r>
      <w:proofErr w:type="spellStart"/>
      <w:r>
        <w:t>SVF</w:t>
      </w:r>
      <w:proofErr w:type="spellEnd"/>
      <w:r>
        <w:t xml:space="preserve"> the project will address;</w:t>
      </w:r>
    </w:p>
    <w:p w14:paraId="2DC26F13" w14:textId="77777777" w:rsidR="006E68AA" w:rsidRDefault="006E68AA" w:rsidP="00756599">
      <w:pPr>
        <w:pStyle w:val="Default"/>
        <w:numPr>
          <w:ilvl w:val="1"/>
          <w:numId w:val="15"/>
        </w:numPr>
        <w:spacing w:after="120"/>
        <w:ind w:left="850" w:hanging="357"/>
      </w:pPr>
      <w:r>
        <w:t>An explanation of any e</w:t>
      </w:r>
      <w:r w:rsidR="00750206">
        <w:t>ngage</w:t>
      </w:r>
      <w:r>
        <w:t>ment you have had</w:t>
      </w:r>
      <w:r w:rsidR="00750206">
        <w:t xml:space="preserve"> with those who will benefit from the project</w:t>
      </w:r>
      <w:r>
        <w:t xml:space="preserve"> and how this has informed the development of the project;</w:t>
      </w:r>
    </w:p>
    <w:p w14:paraId="172BF543" w14:textId="77777777" w:rsidR="006E68AA" w:rsidRDefault="006E68AA" w:rsidP="00756599">
      <w:pPr>
        <w:pStyle w:val="Default"/>
        <w:numPr>
          <w:ilvl w:val="1"/>
          <w:numId w:val="15"/>
        </w:numPr>
        <w:spacing w:after="120"/>
        <w:ind w:left="850" w:hanging="357"/>
      </w:pPr>
      <w:r>
        <w:t xml:space="preserve">An explanation of </w:t>
      </w:r>
      <w:r w:rsidR="00750206">
        <w:t xml:space="preserve">the areas of the veterans community </w:t>
      </w:r>
      <w:r>
        <w:t>the project</w:t>
      </w:r>
      <w:r w:rsidR="00750206">
        <w:t xml:space="preserve"> will benefit</w:t>
      </w:r>
      <w:r w:rsidR="00C72966">
        <w:t>, such as service leavers, spouses or children</w:t>
      </w:r>
      <w:r>
        <w:t>;</w:t>
      </w:r>
    </w:p>
    <w:p w14:paraId="0C6CB827" w14:textId="77777777" w:rsidR="00ED5DA1" w:rsidRDefault="006E68AA" w:rsidP="00756599">
      <w:pPr>
        <w:pStyle w:val="Default"/>
        <w:numPr>
          <w:ilvl w:val="1"/>
          <w:numId w:val="15"/>
        </w:numPr>
        <w:spacing w:after="120"/>
        <w:ind w:left="850" w:hanging="357"/>
      </w:pPr>
      <w:r>
        <w:t>A description of</w:t>
      </w:r>
      <w:r w:rsidR="00ED5DA1">
        <w:t xml:space="preserve"> which areas of Scotland the project will </w:t>
      </w:r>
      <w:r>
        <w:t>cover</w:t>
      </w:r>
      <w:r w:rsidR="00ED5DA1">
        <w:t xml:space="preserve">. </w:t>
      </w:r>
      <w:r w:rsidR="00750206">
        <w:t>Please see below</w:t>
      </w:r>
      <w:r>
        <w:t xml:space="preserve"> a list of</w:t>
      </w:r>
      <w:r w:rsidR="00750206">
        <w:t xml:space="preserve"> </w:t>
      </w:r>
      <w:r w:rsidR="00ED5DA1">
        <w:t xml:space="preserve">regions </w:t>
      </w:r>
      <w:r w:rsidR="00750206">
        <w:t xml:space="preserve">and </w:t>
      </w:r>
      <w:r w:rsidR="00ED5DA1">
        <w:t>the Local Authority areas</w:t>
      </w:r>
      <w:r w:rsidR="00750206">
        <w:t xml:space="preserve"> they correspond to.</w:t>
      </w:r>
    </w:p>
    <w:p w14:paraId="41E1551C" w14:textId="77777777" w:rsidR="00ED5DA1" w:rsidRDefault="00ED5DA1" w:rsidP="00ED5DA1">
      <w:pPr>
        <w:pStyle w:val="Default"/>
      </w:pPr>
    </w:p>
    <w:tbl>
      <w:tblPr>
        <w:tblStyle w:val="TableGrid"/>
        <w:tblW w:w="9204" w:type="dxa"/>
        <w:tblLook w:val="04A0" w:firstRow="1" w:lastRow="0" w:firstColumn="1" w:lastColumn="0" w:noHBand="0" w:noVBand="1"/>
      </w:tblPr>
      <w:tblGrid>
        <w:gridCol w:w="3534"/>
        <w:gridCol w:w="5670"/>
      </w:tblGrid>
      <w:tr w:rsidR="00ED5DA1" w14:paraId="12974E90" w14:textId="77777777" w:rsidTr="00FA58E6">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8ADBB3" w14:textId="77777777" w:rsidR="00ED5DA1" w:rsidRPr="00ED5DA1" w:rsidRDefault="00ED5DA1" w:rsidP="00ED5DA1">
            <w:pPr>
              <w:pStyle w:val="Default"/>
              <w:rPr>
                <w:b/>
              </w:rPr>
            </w:pPr>
            <w:r>
              <w:rPr>
                <w:b/>
              </w:rPr>
              <w:t>Region</w:t>
            </w:r>
          </w:p>
        </w:tc>
        <w:tc>
          <w:tcPr>
            <w:tcW w:w="56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1B5BA2" w14:textId="77777777" w:rsidR="00ED5DA1" w:rsidRPr="00ED5DA1" w:rsidRDefault="00ED5DA1" w:rsidP="00ED5DA1">
            <w:pPr>
              <w:pStyle w:val="Default"/>
              <w:rPr>
                <w:b/>
              </w:rPr>
            </w:pPr>
            <w:r>
              <w:rPr>
                <w:b/>
              </w:rPr>
              <w:t>Local Authorities</w:t>
            </w:r>
          </w:p>
        </w:tc>
      </w:tr>
      <w:tr w:rsidR="00ED5DA1" w14:paraId="153EFB0F" w14:textId="77777777" w:rsidTr="00756599">
        <w:trPr>
          <w:trHeight w:val="340"/>
        </w:trPr>
        <w:tc>
          <w:tcPr>
            <w:tcW w:w="3534" w:type="dxa"/>
            <w:tcBorders>
              <w:top w:val="single" w:sz="8" w:space="0" w:color="auto"/>
              <w:bottom w:val="single" w:sz="8" w:space="0" w:color="auto"/>
            </w:tcBorders>
            <w:vAlign w:val="center"/>
          </w:tcPr>
          <w:p w14:paraId="51ADB5C4" w14:textId="77777777" w:rsidR="00ED5DA1" w:rsidRDefault="008F331A" w:rsidP="00ED5DA1">
            <w:pPr>
              <w:pStyle w:val="Default"/>
            </w:pPr>
            <w:r>
              <w:t>Islands, North and East</w:t>
            </w:r>
          </w:p>
        </w:tc>
        <w:tc>
          <w:tcPr>
            <w:tcW w:w="5670" w:type="dxa"/>
            <w:tcBorders>
              <w:top w:val="single" w:sz="8" w:space="0" w:color="auto"/>
              <w:bottom w:val="single" w:sz="8" w:space="0" w:color="auto"/>
            </w:tcBorders>
            <w:vAlign w:val="center"/>
          </w:tcPr>
          <w:p w14:paraId="1022F6AC" w14:textId="77777777" w:rsidR="008F331A" w:rsidRDefault="008F331A" w:rsidP="008F331A">
            <w:pPr>
              <w:pStyle w:val="Default"/>
            </w:pPr>
            <w:r>
              <w:t xml:space="preserve">Aberdeen City </w:t>
            </w:r>
          </w:p>
          <w:p w14:paraId="285DEF7D" w14:textId="77777777" w:rsidR="008F331A" w:rsidRDefault="008F331A" w:rsidP="008F331A">
            <w:pPr>
              <w:pStyle w:val="Default"/>
            </w:pPr>
            <w:r>
              <w:t xml:space="preserve">Aberdeenshire </w:t>
            </w:r>
          </w:p>
          <w:p w14:paraId="36B9616E" w14:textId="77777777" w:rsidR="008F331A" w:rsidRDefault="008F331A" w:rsidP="008F331A">
            <w:pPr>
              <w:pStyle w:val="Default"/>
            </w:pPr>
            <w:r>
              <w:t>Angus Council</w:t>
            </w:r>
          </w:p>
          <w:p w14:paraId="00DB9CB2" w14:textId="77777777" w:rsidR="008F331A" w:rsidRDefault="008F331A" w:rsidP="008F331A">
            <w:pPr>
              <w:pStyle w:val="Default"/>
            </w:pPr>
            <w:r>
              <w:t xml:space="preserve">Dundee City </w:t>
            </w:r>
          </w:p>
          <w:p w14:paraId="04170314" w14:textId="77777777" w:rsidR="008F331A" w:rsidRDefault="008F331A" w:rsidP="008F331A">
            <w:pPr>
              <w:pStyle w:val="Default"/>
            </w:pPr>
            <w:r>
              <w:t xml:space="preserve">Highland </w:t>
            </w:r>
          </w:p>
          <w:p w14:paraId="01DDC267" w14:textId="77777777" w:rsidR="008F331A" w:rsidRDefault="008F331A" w:rsidP="008F331A">
            <w:pPr>
              <w:pStyle w:val="Default"/>
            </w:pPr>
            <w:r>
              <w:t xml:space="preserve">Moray </w:t>
            </w:r>
          </w:p>
          <w:p w14:paraId="3377A7DE" w14:textId="77777777" w:rsidR="00875E1D" w:rsidRPr="00875E1D" w:rsidRDefault="00875E1D" w:rsidP="00875E1D">
            <w:pPr>
              <w:pStyle w:val="Default"/>
              <w:rPr>
                <w:color w:val="auto"/>
              </w:rPr>
            </w:pPr>
            <w:r w:rsidRPr="00875E1D">
              <w:rPr>
                <w:color w:val="auto"/>
                <w:lang w:val="en"/>
              </w:rPr>
              <w:t>Na h-</w:t>
            </w:r>
            <w:proofErr w:type="spellStart"/>
            <w:r w:rsidRPr="00875E1D">
              <w:rPr>
                <w:color w:val="auto"/>
                <w:lang w:val="en"/>
              </w:rPr>
              <w:t>Eileanan</w:t>
            </w:r>
            <w:proofErr w:type="spellEnd"/>
            <w:r w:rsidRPr="00875E1D">
              <w:rPr>
                <w:color w:val="auto"/>
                <w:lang w:val="en"/>
              </w:rPr>
              <w:t xml:space="preserve"> </w:t>
            </w:r>
            <w:proofErr w:type="spellStart"/>
            <w:r w:rsidRPr="00875E1D">
              <w:rPr>
                <w:color w:val="auto"/>
                <w:lang w:val="en"/>
              </w:rPr>
              <w:t>Siar</w:t>
            </w:r>
            <w:proofErr w:type="spellEnd"/>
            <w:r w:rsidRPr="00875E1D">
              <w:rPr>
                <w:color w:val="auto"/>
              </w:rPr>
              <w:t xml:space="preserve"> </w:t>
            </w:r>
          </w:p>
          <w:p w14:paraId="106FBDEE" w14:textId="77777777" w:rsidR="008F331A" w:rsidRDefault="008F331A" w:rsidP="008F331A">
            <w:pPr>
              <w:pStyle w:val="Default"/>
            </w:pPr>
            <w:r>
              <w:t xml:space="preserve">Orkney Islands </w:t>
            </w:r>
          </w:p>
          <w:p w14:paraId="29D6170C" w14:textId="77777777" w:rsidR="00FA58E6" w:rsidRDefault="008F331A" w:rsidP="008F331A">
            <w:pPr>
              <w:pStyle w:val="Default"/>
            </w:pPr>
            <w:r>
              <w:t xml:space="preserve">Shetland Islands </w:t>
            </w:r>
          </w:p>
        </w:tc>
      </w:tr>
      <w:tr w:rsidR="006E68AA" w14:paraId="3DA6F214" w14:textId="77777777" w:rsidTr="00756599">
        <w:trPr>
          <w:trHeight w:val="340"/>
        </w:trPr>
        <w:tc>
          <w:tcPr>
            <w:tcW w:w="3534" w:type="dxa"/>
            <w:tcBorders>
              <w:top w:val="single" w:sz="8" w:space="0" w:color="auto"/>
              <w:bottom w:val="single" w:sz="8" w:space="0" w:color="auto"/>
            </w:tcBorders>
            <w:vAlign w:val="center"/>
          </w:tcPr>
          <w:p w14:paraId="2C321DCE" w14:textId="77777777" w:rsidR="006E68AA" w:rsidRDefault="006E68AA" w:rsidP="006E68AA">
            <w:pPr>
              <w:pStyle w:val="Default"/>
            </w:pPr>
            <w:r>
              <w:t>Central and Fife</w:t>
            </w:r>
          </w:p>
        </w:tc>
        <w:tc>
          <w:tcPr>
            <w:tcW w:w="5670" w:type="dxa"/>
            <w:tcBorders>
              <w:top w:val="single" w:sz="8" w:space="0" w:color="auto"/>
              <w:bottom w:val="single" w:sz="8" w:space="0" w:color="auto"/>
            </w:tcBorders>
            <w:vAlign w:val="center"/>
          </w:tcPr>
          <w:p w14:paraId="19AE39E3" w14:textId="77777777" w:rsidR="006E68AA" w:rsidRDefault="006E68AA" w:rsidP="006E68AA">
            <w:pPr>
              <w:pStyle w:val="Default"/>
            </w:pPr>
            <w:r>
              <w:t xml:space="preserve">Clackmannanshire </w:t>
            </w:r>
          </w:p>
          <w:p w14:paraId="4BEF68F8" w14:textId="77777777" w:rsidR="006E68AA" w:rsidRDefault="006E68AA" w:rsidP="006E68AA">
            <w:pPr>
              <w:pStyle w:val="Default"/>
            </w:pPr>
            <w:r>
              <w:t xml:space="preserve">Falkirk </w:t>
            </w:r>
          </w:p>
          <w:p w14:paraId="3A9AD214" w14:textId="77777777" w:rsidR="006E68AA" w:rsidRDefault="006E68AA" w:rsidP="006E68AA">
            <w:pPr>
              <w:pStyle w:val="Default"/>
            </w:pPr>
            <w:r>
              <w:t>Fife</w:t>
            </w:r>
          </w:p>
          <w:p w14:paraId="607A16E4" w14:textId="77777777" w:rsidR="006E68AA" w:rsidRDefault="006E68AA" w:rsidP="006E68AA">
            <w:pPr>
              <w:pStyle w:val="Default"/>
            </w:pPr>
            <w:r>
              <w:t>Perth and Kinross</w:t>
            </w:r>
          </w:p>
          <w:p w14:paraId="46CD098F" w14:textId="77777777" w:rsidR="006E68AA" w:rsidRDefault="006E68AA" w:rsidP="006E68AA">
            <w:pPr>
              <w:pStyle w:val="Default"/>
            </w:pPr>
            <w:r>
              <w:t>Stirling</w:t>
            </w:r>
          </w:p>
          <w:p w14:paraId="42F49FE5" w14:textId="77777777" w:rsidR="006E68AA" w:rsidRDefault="006E68AA" w:rsidP="006E68AA">
            <w:pPr>
              <w:pStyle w:val="Default"/>
            </w:pPr>
            <w:r>
              <w:t>North Lanarkshire</w:t>
            </w:r>
          </w:p>
        </w:tc>
      </w:tr>
      <w:tr w:rsidR="006E68AA" w14:paraId="13FD4651" w14:textId="77777777" w:rsidTr="00756599">
        <w:trPr>
          <w:trHeight w:val="340"/>
        </w:trPr>
        <w:tc>
          <w:tcPr>
            <w:tcW w:w="3534" w:type="dxa"/>
            <w:tcBorders>
              <w:top w:val="single" w:sz="8" w:space="0" w:color="auto"/>
              <w:bottom w:val="single" w:sz="8" w:space="0" w:color="auto"/>
            </w:tcBorders>
            <w:vAlign w:val="center"/>
          </w:tcPr>
          <w:p w14:paraId="48A1B398" w14:textId="77777777" w:rsidR="006E68AA" w:rsidRDefault="006E68AA" w:rsidP="006E68AA">
            <w:pPr>
              <w:pStyle w:val="Default"/>
            </w:pPr>
            <w:r>
              <w:t>South East</w:t>
            </w:r>
          </w:p>
        </w:tc>
        <w:tc>
          <w:tcPr>
            <w:tcW w:w="5670" w:type="dxa"/>
            <w:tcBorders>
              <w:top w:val="single" w:sz="8" w:space="0" w:color="auto"/>
              <w:bottom w:val="single" w:sz="8" w:space="0" w:color="auto"/>
            </w:tcBorders>
            <w:vAlign w:val="center"/>
          </w:tcPr>
          <w:p w14:paraId="7E73AF3F" w14:textId="77777777" w:rsidR="006E68AA" w:rsidRDefault="006E68AA" w:rsidP="006E68AA">
            <w:pPr>
              <w:pStyle w:val="Default"/>
            </w:pPr>
            <w:r>
              <w:t xml:space="preserve">Borders </w:t>
            </w:r>
          </w:p>
          <w:p w14:paraId="37170CB5" w14:textId="77777777" w:rsidR="006E68AA" w:rsidRDefault="006E68AA" w:rsidP="006E68AA">
            <w:pPr>
              <w:pStyle w:val="Default"/>
            </w:pPr>
            <w:r>
              <w:t xml:space="preserve">City of Edinburgh </w:t>
            </w:r>
          </w:p>
          <w:p w14:paraId="0A4F494F" w14:textId="77777777" w:rsidR="006E68AA" w:rsidRDefault="006E68AA" w:rsidP="006E68AA">
            <w:pPr>
              <w:pStyle w:val="Default"/>
            </w:pPr>
            <w:r>
              <w:t xml:space="preserve">East Lothian </w:t>
            </w:r>
          </w:p>
          <w:p w14:paraId="1EBC0F1A" w14:textId="77777777" w:rsidR="006E68AA" w:rsidRDefault="006E68AA" w:rsidP="006E68AA">
            <w:pPr>
              <w:pStyle w:val="Default"/>
            </w:pPr>
            <w:r>
              <w:t xml:space="preserve">Midlothian </w:t>
            </w:r>
          </w:p>
          <w:p w14:paraId="2F9C2326" w14:textId="77777777" w:rsidR="006E68AA" w:rsidRDefault="006E68AA" w:rsidP="006E68AA">
            <w:pPr>
              <w:pStyle w:val="Default"/>
            </w:pPr>
            <w:r>
              <w:t>West Lothian</w:t>
            </w:r>
          </w:p>
        </w:tc>
      </w:tr>
      <w:tr w:rsidR="006E68AA" w14:paraId="396C7AD9" w14:textId="77777777" w:rsidTr="00756599">
        <w:trPr>
          <w:trHeight w:val="340"/>
        </w:trPr>
        <w:tc>
          <w:tcPr>
            <w:tcW w:w="3534" w:type="dxa"/>
            <w:tcBorders>
              <w:top w:val="single" w:sz="8" w:space="0" w:color="auto"/>
              <w:bottom w:val="single" w:sz="8" w:space="0" w:color="auto"/>
            </w:tcBorders>
            <w:vAlign w:val="center"/>
          </w:tcPr>
          <w:p w14:paraId="767F5F46" w14:textId="77777777" w:rsidR="006E68AA" w:rsidRDefault="006E68AA" w:rsidP="006E68AA">
            <w:pPr>
              <w:pStyle w:val="Default"/>
            </w:pPr>
            <w:r>
              <w:t>South West</w:t>
            </w:r>
          </w:p>
        </w:tc>
        <w:tc>
          <w:tcPr>
            <w:tcW w:w="5670" w:type="dxa"/>
            <w:tcBorders>
              <w:top w:val="single" w:sz="8" w:space="0" w:color="auto"/>
              <w:bottom w:val="single" w:sz="8" w:space="0" w:color="auto"/>
            </w:tcBorders>
            <w:vAlign w:val="center"/>
          </w:tcPr>
          <w:p w14:paraId="0F76F612" w14:textId="77777777" w:rsidR="006E68AA" w:rsidRDefault="006E68AA" w:rsidP="006E68AA">
            <w:pPr>
              <w:pStyle w:val="Default"/>
            </w:pPr>
            <w:r>
              <w:t>Dumfries and Galloway</w:t>
            </w:r>
          </w:p>
          <w:p w14:paraId="61CACAE8" w14:textId="77777777" w:rsidR="006E68AA" w:rsidRDefault="006E68AA" w:rsidP="006E68AA">
            <w:pPr>
              <w:pStyle w:val="Default"/>
            </w:pPr>
            <w:r>
              <w:t>East Ayrshire</w:t>
            </w:r>
          </w:p>
          <w:p w14:paraId="3BD7133A" w14:textId="77777777" w:rsidR="006E68AA" w:rsidRDefault="006E68AA" w:rsidP="006E68AA">
            <w:pPr>
              <w:pStyle w:val="Default"/>
            </w:pPr>
            <w:r>
              <w:t xml:space="preserve">East Renfrewshire </w:t>
            </w:r>
          </w:p>
          <w:p w14:paraId="450975F5" w14:textId="77777777" w:rsidR="006E68AA" w:rsidRDefault="006E68AA" w:rsidP="006E68AA">
            <w:pPr>
              <w:pStyle w:val="Default"/>
            </w:pPr>
            <w:r>
              <w:t xml:space="preserve">Inverclyde </w:t>
            </w:r>
          </w:p>
          <w:p w14:paraId="16FF0256" w14:textId="77777777" w:rsidR="006E68AA" w:rsidRDefault="006E68AA" w:rsidP="006E68AA">
            <w:pPr>
              <w:pStyle w:val="Default"/>
            </w:pPr>
            <w:r>
              <w:t xml:space="preserve">North Ayrshire </w:t>
            </w:r>
          </w:p>
          <w:p w14:paraId="500957E9" w14:textId="77777777" w:rsidR="006E68AA" w:rsidRDefault="006E68AA" w:rsidP="006E68AA">
            <w:pPr>
              <w:pStyle w:val="Default"/>
            </w:pPr>
            <w:r>
              <w:t>South Ayrshire</w:t>
            </w:r>
          </w:p>
          <w:p w14:paraId="117E681A" w14:textId="77777777" w:rsidR="006E68AA" w:rsidRDefault="006E68AA" w:rsidP="006E68AA">
            <w:pPr>
              <w:pStyle w:val="Default"/>
            </w:pPr>
            <w:r>
              <w:t>South Lanarkshire</w:t>
            </w:r>
          </w:p>
        </w:tc>
      </w:tr>
      <w:tr w:rsidR="006E68AA" w14:paraId="36ECAC29" w14:textId="77777777" w:rsidTr="00756599">
        <w:trPr>
          <w:trHeight w:val="340"/>
        </w:trPr>
        <w:tc>
          <w:tcPr>
            <w:tcW w:w="3534" w:type="dxa"/>
            <w:tcBorders>
              <w:top w:val="single" w:sz="8" w:space="0" w:color="auto"/>
              <w:bottom w:val="single" w:sz="8" w:space="0" w:color="auto"/>
            </w:tcBorders>
            <w:vAlign w:val="center"/>
          </w:tcPr>
          <w:p w14:paraId="11B1A2AA" w14:textId="77777777" w:rsidR="006E68AA" w:rsidRDefault="006E68AA" w:rsidP="006E68AA">
            <w:pPr>
              <w:pStyle w:val="Default"/>
            </w:pPr>
            <w:r>
              <w:t>Glasgow and West</w:t>
            </w:r>
          </w:p>
        </w:tc>
        <w:tc>
          <w:tcPr>
            <w:tcW w:w="5670" w:type="dxa"/>
            <w:tcBorders>
              <w:top w:val="single" w:sz="8" w:space="0" w:color="auto"/>
              <w:bottom w:val="single" w:sz="8" w:space="0" w:color="auto"/>
            </w:tcBorders>
            <w:vAlign w:val="center"/>
          </w:tcPr>
          <w:p w14:paraId="66BA0057" w14:textId="77777777" w:rsidR="006E68AA" w:rsidRDefault="006E68AA" w:rsidP="006E68AA">
            <w:pPr>
              <w:pStyle w:val="Default"/>
            </w:pPr>
            <w:r>
              <w:t xml:space="preserve">Argyll and Bute </w:t>
            </w:r>
          </w:p>
          <w:p w14:paraId="08ABE65F" w14:textId="77777777" w:rsidR="006E68AA" w:rsidRDefault="006E68AA" w:rsidP="006E68AA">
            <w:pPr>
              <w:pStyle w:val="Default"/>
            </w:pPr>
            <w:r>
              <w:t xml:space="preserve">East Dunbartonshire </w:t>
            </w:r>
          </w:p>
          <w:p w14:paraId="45B1790B" w14:textId="77777777" w:rsidR="006E68AA" w:rsidRDefault="006E68AA" w:rsidP="006E68AA">
            <w:pPr>
              <w:pStyle w:val="Default"/>
            </w:pPr>
            <w:r>
              <w:t xml:space="preserve">Glasgow City </w:t>
            </w:r>
          </w:p>
          <w:p w14:paraId="447D6D1E" w14:textId="77777777" w:rsidR="006E68AA" w:rsidRDefault="006E68AA" w:rsidP="006E68AA">
            <w:pPr>
              <w:pStyle w:val="Default"/>
            </w:pPr>
            <w:r>
              <w:t xml:space="preserve">Renfrewshire </w:t>
            </w:r>
          </w:p>
          <w:p w14:paraId="1ACFF4BD" w14:textId="77777777" w:rsidR="006E68AA" w:rsidRDefault="006E68AA" w:rsidP="006E68AA">
            <w:pPr>
              <w:pStyle w:val="Default"/>
            </w:pPr>
            <w:r>
              <w:t>West Dunbartonshire</w:t>
            </w:r>
          </w:p>
        </w:tc>
      </w:tr>
    </w:tbl>
    <w:p w14:paraId="30956EE5" w14:textId="77777777" w:rsidR="008B4F42" w:rsidRDefault="008B4F42"/>
    <w:p w14:paraId="6FCC2466" w14:textId="77777777" w:rsidR="00814AEE" w:rsidRPr="00C806F2" w:rsidRDefault="00814AEE" w:rsidP="00104C44">
      <w:pPr>
        <w:pStyle w:val="Default"/>
      </w:pPr>
    </w:p>
    <w:p w14:paraId="059D5BC3" w14:textId="77777777" w:rsidR="006E68AA" w:rsidRPr="00756599" w:rsidRDefault="006E68AA">
      <w:pPr>
        <w:pStyle w:val="Default"/>
        <w:numPr>
          <w:ilvl w:val="0"/>
          <w:numId w:val="15"/>
        </w:numPr>
        <w:ind w:left="426" w:hanging="426"/>
        <w:rPr>
          <w:b/>
        </w:rPr>
      </w:pPr>
      <w:r w:rsidRPr="00756599">
        <w:rPr>
          <w:b/>
        </w:rPr>
        <w:t>Section 2.4 Need for Project.</w:t>
      </w:r>
      <w:r>
        <w:rPr>
          <w:b/>
        </w:rPr>
        <w:t xml:space="preserve"> </w:t>
      </w:r>
      <w:r>
        <w:t>This should provide an explanation of how the need for the project was identified and identify any evidence that has been gathered to support the identification of this need. If possible, this evidence should be quantifiable rather than anecdotal.</w:t>
      </w:r>
    </w:p>
    <w:p w14:paraId="00D60150" w14:textId="77777777" w:rsidR="006E68AA" w:rsidRDefault="006E68AA" w:rsidP="00756599">
      <w:pPr>
        <w:pStyle w:val="Default"/>
        <w:ind w:left="426"/>
      </w:pPr>
    </w:p>
    <w:p w14:paraId="2CFD19C1" w14:textId="77777777" w:rsidR="006E68AA" w:rsidRDefault="006E68AA">
      <w:pPr>
        <w:pStyle w:val="Default"/>
        <w:numPr>
          <w:ilvl w:val="0"/>
          <w:numId w:val="15"/>
        </w:numPr>
        <w:ind w:left="426" w:hanging="426"/>
      </w:pPr>
      <w:r w:rsidRPr="00756599">
        <w:rPr>
          <w:b/>
        </w:rPr>
        <w:t>Section 2.5 Delivery of Project</w:t>
      </w:r>
      <w:r>
        <w:t>. This should outline how you intend to deliver this project and the</w:t>
      </w:r>
      <w:r w:rsidRPr="008F4537">
        <w:t xml:space="preserve"> skills and experience</w:t>
      </w:r>
      <w:r>
        <w:t xml:space="preserve"> that your</w:t>
      </w:r>
      <w:r w:rsidRPr="008F4537">
        <w:t xml:space="preserve"> organisation</w:t>
      </w:r>
      <w:r>
        <w:t xml:space="preserve"> or delivery partners</w:t>
      </w:r>
      <w:r w:rsidRPr="008F4537">
        <w:t xml:space="preserve"> </w:t>
      </w:r>
      <w:r>
        <w:t>have</w:t>
      </w:r>
      <w:r w:rsidRPr="008F4537">
        <w:t xml:space="preserve"> in the delivery of this type of project or other relevant activities</w:t>
      </w:r>
      <w:r>
        <w:t xml:space="preserve">. </w:t>
      </w:r>
      <w:r w:rsidRPr="008F4537">
        <w:t>All projects must demonstrate</w:t>
      </w:r>
      <w:r>
        <w:t xml:space="preserve"> that they are realistically achievable with the resource available. They should be demonstrate</w:t>
      </w:r>
      <w:r w:rsidRPr="008F4537">
        <w:t xml:space="preserve"> sound financial</w:t>
      </w:r>
      <w:r>
        <w:t xml:space="preserve"> </w:t>
      </w:r>
      <w:r w:rsidRPr="008F4537">
        <w:t>and management arrangements</w:t>
      </w:r>
      <w:r>
        <w:t>, as well as</w:t>
      </w:r>
      <w:r w:rsidRPr="002F32CF">
        <w:t xml:space="preserve"> </w:t>
      </w:r>
      <w:r>
        <w:t>adherence to Scottish Government Fair Work principles</w:t>
      </w:r>
      <w:r w:rsidRPr="00B35C68">
        <w:t>.</w:t>
      </w:r>
    </w:p>
    <w:p w14:paraId="04D1C3BB" w14:textId="77777777" w:rsidR="00802D9A" w:rsidRDefault="00802D9A" w:rsidP="00756599">
      <w:pPr>
        <w:pStyle w:val="Default"/>
        <w:ind w:left="426"/>
      </w:pPr>
    </w:p>
    <w:p w14:paraId="7E4E87E7" w14:textId="77777777" w:rsidR="00802D9A" w:rsidRPr="00756599" w:rsidRDefault="00802D9A">
      <w:pPr>
        <w:pStyle w:val="Default"/>
        <w:numPr>
          <w:ilvl w:val="0"/>
          <w:numId w:val="15"/>
        </w:numPr>
        <w:ind w:left="426" w:hanging="426"/>
        <w:rPr>
          <w:b/>
        </w:rPr>
      </w:pPr>
      <w:r w:rsidRPr="00756599">
        <w:rPr>
          <w:b/>
        </w:rPr>
        <w:lastRenderedPageBreak/>
        <w:t>Section</w:t>
      </w:r>
      <w:r>
        <w:rPr>
          <w:b/>
        </w:rPr>
        <w:t xml:space="preserve"> 2.6 Project Outcomes. </w:t>
      </w:r>
      <w:r>
        <w:t>This asks the applicant to list up to three outcomes for their proposed project, along with the associated outputs for the outcomes, to illustrate the impact of the project. When writing these, it is useful to clearly distinguish between Inputs, Outputs, Outcomes and Impact in order to provide clear information on the measurable impact that a project is intended to have. There are no absolute rules for defining whether something is an outcome or an output, but the following are included as a rough guide.</w:t>
      </w:r>
    </w:p>
    <w:p w14:paraId="25C09C7F" w14:textId="77777777" w:rsidR="00802D9A" w:rsidRDefault="00802D9A" w:rsidP="00756599">
      <w:pPr>
        <w:pStyle w:val="ListParagraph"/>
        <w:ind w:left="426"/>
        <w:rPr>
          <w:rFonts w:cs="Arial"/>
          <w:b/>
          <w:szCs w:val="24"/>
        </w:rPr>
      </w:pPr>
    </w:p>
    <w:p w14:paraId="694081D6" w14:textId="77777777" w:rsidR="00802D9A" w:rsidRPr="00125B61" w:rsidRDefault="00802D9A" w:rsidP="00802D9A">
      <w:pPr>
        <w:pStyle w:val="ListParagraph"/>
        <w:ind w:left="426"/>
        <w:rPr>
          <w:rFonts w:ascii="Arial" w:hAnsi="Arial" w:cs="Arial"/>
          <w:bCs/>
          <w:sz w:val="24"/>
          <w:szCs w:val="24"/>
        </w:rPr>
      </w:pPr>
      <w:r w:rsidRPr="00125B61">
        <w:rPr>
          <w:rFonts w:ascii="Arial" w:hAnsi="Arial" w:cs="Arial"/>
          <w:b/>
          <w:bCs/>
          <w:sz w:val="24"/>
          <w:szCs w:val="24"/>
        </w:rPr>
        <w:t>Impact</w:t>
      </w:r>
    </w:p>
    <w:p w14:paraId="6AC1D671" w14:textId="77777777" w:rsidR="00802D9A" w:rsidRDefault="00802D9A" w:rsidP="00802D9A">
      <w:pPr>
        <w:pStyle w:val="ListParagraph"/>
        <w:ind w:left="426"/>
        <w:rPr>
          <w:rFonts w:ascii="Arial" w:hAnsi="Arial" w:cs="Arial"/>
          <w:sz w:val="24"/>
          <w:szCs w:val="24"/>
        </w:rPr>
      </w:pPr>
      <w:r w:rsidRPr="00125B61">
        <w:rPr>
          <w:rFonts w:ascii="Arial" w:hAnsi="Arial" w:cs="Arial"/>
          <w:sz w:val="24"/>
          <w:szCs w:val="24"/>
        </w:rPr>
        <w:t xml:space="preserve">Project impact </w:t>
      </w:r>
      <w:r>
        <w:rPr>
          <w:rFonts w:ascii="Arial" w:hAnsi="Arial" w:cs="Arial"/>
          <w:sz w:val="24"/>
          <w:szCs w:val="24"/>
        </w:rPr>
        <w:t xml:space="preserve">should </w:t>
      </w:r>
      <w:r w:rsidRPr="00125B61">
        <w:rPr>
          <w:rFonts w:ascii="Arial" w:hAnsi="Arial" w:cs="Arial"/>
          <w:sz w:val="24"/>
          <w:szCs w:val="24"/>
        </w:rPr>
        <w:t xml:space="preserve">reflect the </w:t>
      </w:r>
      <w:r>
        <w:rPr>
          <w:rFonts w:ascii="Arial" w:hAnsi="Arial" w:cs="Arial"/>
          <w:sz w:val="24"/>
          <w:szCs w:val="24"/>
        </w:rPr>
        <w:t xml:space="preserve">contribution that your project will make on the veterans community in line with its </w:t>
      </w:r>
      <w:r w:rsidRPr="00125B61">
        <w:rPr>
          <w:rFonts w:ascii="Arial" w:hAnsi="Arial" w:cs="Arial"/>
          <w:sz w:val="24"/>
          <w:szCs w:val="24"/>
        </w:rPr>
        <w:t xml:space="preserve">higher level </w:t>
      </w:r>
      <w:r>
        <w:rPr>
          <w:rFonts w:ascii="Arial" w:hAnsi="Arial" w:cs="Arial"/>
          <w:sz w:val="24"/>
          <w:szCs w:val="24"/>
        </w:rPr>
        <w:t>aims</w:t>
      </w:r>
      <w:r w:rsidRPr="00125B61">
        <w:rPr>
          <w:rFonts w:ascii="Arial" w:hAnsi="Arial" w:cs="Arial"/>
          <w:bCs/>
          <w:sz w:val="24"/>
          <w:szCs w:val="24"/>
        </w:rPr>
        <w:t>.</w:t>
      </w:r>
      <w:r w:rsidRPr="00125B61">
        <w:rPr>
          <w:rFonts w:ascii="Arial" w:hAnsi="Arial" w:cs="Arial"/>
          <w:sz w:val="24"/>
          <w:szCs w:val="24"/>
        </w:rPr>
        <w:t xml:space="preserve"> </w:t>
      </w:r>
      <w:r>
        <w:rPr>
          <w:rFonts w:ascii="Arial" w:hAnsi="Arial" w:cs="Arial"/>
          <w:sz w:val="24"/>
          <w:szCs w:val="24"/>
        </w:rPr>
        <w:t>This</w:t>
      </w:r>
      <w:r w:rsidRPr="00125B61">
        <w:rPr>
          <w:rFonts w:ascii="Arial" w:hAnsi="Arial" w:cs="Arial"/>
          <w:sz w:val="24"/>
          <w:szCs w:val="24"/>
        </w:rPr>
        <w:t xml:space="preserve"> impact </w:t>
      </w:r>
      <w:r>
        <w:rPr>
          <w:rFonts w:ascii="Arial" w:hAnsi="Arial" w:cs="Arial"/>
          <w:sz w:val="24"/>
          <w:szCs w:val="24"/>
        </w:rPr>
        <w:t>should be measurable or able to be assessed in some manner.</w:t>
      </w:r>
    </w:p>
    <w:p w14:paraId="294C95E1" w14:textId="77777777" w:rsidR="00802D9A" w:rsidRPr="00125B61" w:rsidRDefault="00802D9A" w:rsidP="00802D9A">
      <w:pPr>
        <w:pStyle w:val="ListParagraph"/>
        <w:ind w:left="426"/>
        <w:rPr>
          <w:rFonts w:ascii="Arial" w:hAnsi="Arial" w:cs="Arial"/>
          <w:sz w:val="24"/>
          <w:szCs w:val="24"/>
        </w:rPr>
      </w:pPr>
    </w:p>
    <w:p w14:paraId="7A1E90A2" w14:textId="77777777" w:rsidR="00AF169B" w:rsidRPr="00756599" w:rsidRDefault="00AF169B" w:rsidP="00756599">
      <w:pPr>
        <w:pStyle w:val="ListParagraph"/>
        <w:ind w:left="426"/>
        <w:rPr>
          <w:rFonts w:cs="Arial"/>
          <w:szCs w:val="24"/>
        </w:rPr>
      </w:pPr>
      <w:r w:rsidRPr="00756599">
        <w:rPr>
          <w:rFonts w:ascii="Arial" w:hAnsi="Arial" w:cs="Arial"/>
          <w:b/>
          <w:sz w:val="24"/>
          <w:szCs w:val="24"/>
        </w:rPr>
        <w:t>Input</w:t>
      </w:r>
      <w:r>
        <w:rPr>
          <w:rFonts w:ascii="Arial" w:hAnsi="Arial" w:cs="Arial"/>
          <w:b/>
          <w:sz w:val="24"/>
          <w:szCs w:val="24"/>
        </w:rPr>
        <w:t>s</w:t>
      </w:r>
    </w:p>
    <w:p w14:paraId="019F8407" w14:textId="77777777" w:rsidR="00AF169B" w:rsidRPr="00AF169B" w:rsidRDefault="00AF169B" w:rsidP="00756599">
      <w:pPr>
        <w:pStyle w:val="ListParagraph"/>
        <w:ind w:left="426"/>
        <w:rPr>
          <w:rFonts w:ascii="Arial" w:hAnsi="Arial" w:cs="Arial"/>
          <w:sz w:val="24"/>
          <w:szCs w:val="24"/>
        </w:rPr>
      </w:pPr>
      <w:r w:rsidRPr="00AF169B">
        <w:rPr>
          <w:rFonts w:ascii="Arial" w:hAnsi="Arial" w:cs="Arial"/>
          <w:sz w:val="24"/>
          <w:szCs w:val="24"/>
        </w:rPr>
        <w:t xml:space="preserve">The resources that are to be used to run </w:t>
      </w:r>
      <w:r w:rsidR="00802D9A">
        <w:rPr>
          <w:rFonts w:ascii="Arial" w:hAnsi="Arial" w:cs="Arial"/>
          <w:sz w:val="24"/>
          <w:szCs w:val="24"/>
        </w:rPr>
        <w:t>the</w:t>
      </w:r>
      <w:r w:rsidRPr="00AF169B">
        <w:rPr>
          <w:rFonts w:ascii="Arial" w:hAnsi="Arial" w:cs="Arial"/>
          <w:sz w:val="24"/>
          <w:szCs w:val="24"/>
        </w:rPr>
        <w:t xml:space="preserve"> project; the money, people, equipment</w:t>
      </w:r>
      <w:r w:rsidR="00802D9A">
        <w:rPr>
          <w:rFonts w:ascii="Arial" w:hAnsi="Arial" w:cs="Arial"/>
          <w:sz w:val="24"/>
          <w:szCs w:val="24"/>
        </w:rPr>
        <w:t xml:space="preserve"> etc.</w:t>
      </w:r>
    </w:p>
    <w:p w14:paraId="5F98A6AE" w14:textId="77777777" w:rsidR="00AF169B" w:rsidRPr="00AF169B" w:rsidRDefault="00AF169B" w:rsidP="00756599">
      <w:pPr>
        <w:pStyle w:val="ListParagraph"/>
        <w:ind w:left="426"/>
        <w:rPr>
          <w:rFonts w:ascii="Arial" w:hAnsi="Arial" w:cs="Arial"/>
          <w:sz w:val="24"/>
          <w:szCs w:val="24"/>
        </w:rPr>
      </w:pPr>
    </w:p>
    <w:p w14:paraId="7E3F4C82" w14:textId="77777777" w:rsidR="00AF169B" w:rsidRPr="00AF169B" w:rsidRDefault="00AF169B" w:rsidP="00756599">
      <w:pPr>
        <w:pStyle w:val="ListParagraph"/>
        <w:ind w:left="426"/>
        <w:rPr>
          <w:rFonts w:ascii="Arial" w:hAnsi="Arial" w:cs="Arial"/>
          <w:b/>
          <w:bCs/>
          <w:sz w:val="24"/>
          <w:szCs w:val="24"/>
        </w:rPr>
      </w:pPr>
      <w:r w:rsidRPr="00AF169B">
        <w:rPr>
          <w:rFonts w:ascii="Arial" w:hAnsi="Arial" w:cs="Arial"/>
          <w:b/>
          <w:bCs/>
          <w:sz w:val="24"/>
          <w:szCs w:val="24"/>
        </w:rPr>
        <w:t>Outputs</w:t>
      </w:r>
    </w:p>
    <w:p w14:paraId="5D6700B9" w14:textId="77777777" w:rsidR="00AF169B" w:rsidRPr="00AF169B" w:rsidRDefault="00AF169B" w:rsidP="00756599">
      <w:pPr>
        <w:pStyle w:val="ListParagraph"/>
        <w:ind w:left="426"/>
        <w:rPr>
          <w:rFonts w:ascii="Arial" w:hAnsi="Arial" w:cs="Arial"/>
          <w:sz w:val="24"/>
          <w:szCs w:val="24"/>
        </w:rPr>
      </w:pPr>
      <w:r w:rsidRPr="00AF169B">
        <w:rPr>
          <w:rFonts w:ascii="Arial" w:hAnsi="Arial" w:cs="Arial"/>
          <w:sz w:val="24"/>
          <w:szCs w:val="24"/>
        </w:rPr>
        <w:t xml:space="preserve">Outputs </w:t>
      </w:r>
      <w:r w:rsidR="00802D9A">
        <w:rPr>
          <w:rFonts w:ascii="Arial" w:hAnsi="Arial" w:cs="Arial"/>
          <w:sz w:val="24"/>
          <w:szCs w:val="24"/>
        </w:rPr>
        <w:t>are the</w:t>
      </w:r>
      <w:r w:rsidRPr="00AF169B">
        <w:rPr>
          <w:rFonts w:ascii="Arial" w:hAnsi="Arial" w:cs="Arial"/>
          <w:sz w:val="24"/>
          <w:szCs w:val="24"/>
        </w:rPr>
        <w:t xml:space="preserve"> direct, measurable results of activities </w:t>
      </w:r>
      <w:r w:rsidRPr="00756599">
        <w:rPr>
          <w:rFonts w:ascii="Arial" w:hAnsi="Arial" w:cs="Arial"/>
          <w:bCs/>
          <w:sz w:val="24"/>
          <w:szCs w:val="24"/>
        </w:rPr>
        <w:t>undertaken</w:t>
      </w:r>
      <w:r w:rsidR="00802D9A">
        <w:rPr>
          <w:rFonts w:ascii="Arial" w:hAnsi="Arial" w:cs="Arial"/>
          <w:bCs/>
          <w:sz w:val="24"/>
          <w:szCs w:val="24"/>
        </w:rPr>
        <w:t xml:space="preserve"> as part of the project</w:t>
      </w:r>
      <w:r w:rsidRPr="00AF169B">
        <w:rPr>
          <w:rFonts w:ascii="Arial" w:hAnsi="Arial" w:cs="Arial"/>
          <w:sz w:val="24"/>
          <w:szCs w:val="24"/>
        </w:rPr>
        <w:t>.  Achievement of the outputs should provide the conditions necessary to achieve the outcome</w:t>
      </w:r>
      <w:r w:rsidR="00802D9A">
        <w:rPr>
          <w:rFonts w:ascii="Arial" w:hAnsi="Arial" w:cs="Arial"/>
          <w:sz w:val="24"/>
          <w:szCs w:val="24"/>
        </w:rPr>
        <w:t xml:space="preserve">, which will in turn </w:t>
      </w:r>
      <w:r w:rsidRPr="00AF169B">
        <w:rPr>
          <w:rFonts w:ascii="Arial" w:hAnsi="Arial" w:cs="Arial"/>
          <w:sz w:val="24"/>
          <w:szCs w:val="24"/>
        </w:rPr>
        <w:t>contribute to the impact.</w:t>
      </w:r>
    </w:p>
    <w:p w14:paraId="5393AFD1" w14:textId="77777777" w:rsidR="00F74E21" w:rsidRPr="00756599" w:rsidRDefault="00F74E21" w:rsidP="00AF169B">
      <w:pPr>
        <w:ind w:left="426"/>
        <w:rPr>
          <w:rFonts w:cs="Arial"/>
          <w:szCs w:val="24"/>
        </w:rPr>
      </w:pPr>
    </w:p>
    <w:p w14:paraId="63CCD35E" w14:textId="77777777" w:rsidR="005410B3" w:rsidRPr="00756599" w:rsidRDefault="005410B3" w:rsidP="00AF169B">
      <w:pPr>
        <w:ind w:left="426"/>
        <w:rPr>
          <w:rFonts w:cs="Arial"/>
          <w:szCs w:val="24"/>
        </w:rPr>
      </w:pPr>
      <w:r w:rsidRPr="00756599">
        <w:rPr>
          <w:rFonts w:cs="Arial"/>
          <w:b/>
          <w:bCs/>
          <w:szCs w:val="24"/>
        </w:rPr>
        <w:t>Outcome</w:t>
      </w:r>
      <w:r w:rsidR="00AF169B" w:rsidRPr="00AF169B">
        <w:rPr>
          <w:rFonts w:cs="Arial"/>
          <w:b/>
          <w:bCs/>
          <w:szCs w:val="24"/>
        </w:rPr>
        <w:t>s</w:t>
      </w:r>
    </w:p>
    <w:p w14:paraId="43D5B34F" w14:textId="77777777" w:rsidR="005410B3" w:rsidRPr="00756599" w:rsidRDefault="005410B3" w:rsidP="00756599">
      <w:pPr>
        <w:pStyle w:val="ListParagraph"/>
        <w:ind w:left="426"/>
        <w:rPr>
          <w:rFonts w:cs="Arial"/>
          <w:b/>
          <w:bCs/>
          <w:szCs w:val="24"/>
        </w:rPr>
      </w:pPr>
      <w:r w:rsidRPr="00756599">
        <w:rPr>
          <w:rFonts w:ascii="Arial" w:hAnsi="Arial" w:cs="Arial"/>
          <w:sz w:val="24"/>
          <w:szCs w:val="24"/>
        </w:rPr>
        <w:t>The project outcome should identify what will change and who will benefit as a result of the project</w:t>
      </w:r>
      <w:r w:rsidR="00802D9A">
        <w:rPr>
          <w:rFonts w:ascii="Arial" w:hAnsi="Arial" w:cs="Arial"/>
          <w:sz w:val="24"/>
          <w:szCs w:val="24"/>
        </w:rPr>
        <w:t xml:space="preserve">. </w:t>
      </w:r>
      <w:r w:rsidRPr="00756599">
        <w:rPr>
          <w:rFonts w:ascii="Arial" w:hAnsi="Arial" w:cs="Arial"/>
          <w:sz w:val="24"/>
          <w:szCs w:val="24"/>
        </w:rPr>
        <w:t xml:space="preserve">The achievement of the outcomes will see the see the </w:t>
      </w:r>
      <w:r w:rsidR="00802D9A">
        <w:rPr>
          <w:rFonts w:ascii="Arial" w:hAnsi="Arial" w:cs="Arial"/>
          <w:sz w:val="24"/>
          <w:szCs w:val="24"/>
        </w:rPr>
        <w:t>realisations</w:t>
      </w:r>
      <w:r w:rsidR="00802D9A" w:rsidRPr="00756599">
        <w:rPr>
          <w:rFonts w:ascii="Arial" w:hAnsi="Arial" w:cs="Arial"/>
          <w:sz w:val="24"/>
          <w:szCs w:val="24"/>
        </w:rPr>
        <w:t xml:space="preserve"> </w:t>
      </w:r>
      <w:r w:rsidRPr="00756599">
        <w:rPr>
          <w:rFonts w:ascii="Arial" w:hAnsi="Arial" w:cs="Arial"/>
          <w:sz w:val="24"/>
          <w:szCs w:val="24"/>
        </w:rPr>
        <w:t xml:space="preserve">of the project’s </w:t>
      </w:r>
      <w:r w:rsidR="00802D9A">
        <w:rPr>
          <w:rFonts w:ascii="Arial" w:hAnsi="Arial" w:cs="Arial"/>
          <w:sz w:val="24"/>
          <w:szCs w:val="24"/>
        </w:rPr>
        <w:t>aims and the resultant impact on the veterans community.</w:t>
      </w:r>
    </w:p>
    <w:p w14:paraId="784CC8B2" w14:textId="77777777" w:rsidR="005410B3" w:rsidRPr="00756599" w:rsidRDefault="005410B3" w:rsidP="00AF169B">
      <w:pPr>
        <w:ind w:left="426"/>
        <w:jc w:val="left"/>
        <w:rPr>
          <w:rFonts w:cs="Arial"/>
          <w:b/>
          <w:bCs/>
          <w:szCs w:val="24"/>
        </w:rPr>
      </w:pPr>
    </w:p>
    <w:p w14:paraId="34BC3D31" w14:textId="77777777" w:rsidR="00AF5679" w:rsidRPr="00756599" w:rsidRDefault="006E68AA" w:rsidP="00AF169B">
      <w:pPr>
        <w:pStyle w:val="EndnoteText"/>
        <w:ind w:left="426"/>
        <w:jc w:val="both"/>
        <w:rPr>
          <w:rStyle w:val="EndnoteReference"/>
          <w:bCs/>
          <w:sz w:val="24"/>
          <w:szCs w:val="24"/>
          <w:vertAlign w:val="baseline"/>
        </w:rPr>
      </w:pPr>
      <w:r w:rsidRPr="00756599">
        <w:rPr>
          <w:rStyle w:val="EndnoteReference"/>
          <w:bCs/>
          <w:szCs w:val="24"/>
          <w:vertAlign w:val="baseline"/>
        </w:rPr>
        <w:t>Hard outcomes</w:t>
      </w:r>
      <w:r w:rsidRPr="00802D9A">
        <w:rPr>
          <w:rStyle w:val="EndnoteReference"/>
          <w:bCs/>
          <w:szCs w:val="24"/>
          <w:vertAlign w:val="baseline"/>
        </w:rPr>
        <w:t xml:space="preserve"> can be things such as: reduced debt, increased employment, reduced homelessness, reduced family breakdown, reduced crime</w:t>
      </w:r>
      <w:r w:rsidR="00AF169B" w:rsidRPr="00756599">
        <w:rPr>
          <w:bCs/>
          <w:szCs w:val="24"/>
        </w:rPr>
        <w:t xml:space="preserve">. </w:t>
      </w:r>
      <w:r w:rsidRPr="00756599">
        <w:rPr>
          <w:rStyle w:val="EndnoteReference"/>
          <w:bCs/>
          <w:szCs w:val="24"/>
          <w:vertAlign w:val="baseline"/>
        </w:rPr>
        <w:t>Soft outcomes</w:t>
      </w:r>
      <w:r w:rsidRPr="00802D9A">
        <w:rPr>
          <w:rStyle w:val="EndnoteReference"/>
          <w:bCs/>
          <w:szCs w:val="24"/>
          <w:vertAlign w:val="baseline"/>
        </w:rPr>
        <w:t xml:space="preserve"> are much harder to measure but can include things such as: increased self-esteem, increased confidence, improved relationships, reduced isolation</w:t>
      </w:r>
    </w:p>
    <w:p w14:paraId="34844343" w14:textId="77777777" w:rsidR="00802D9A" w:rsidRDefault="00802D9A" w:rsidP="00756599">
      <w:pPr>
        <w:pStyle w:val="Default"/>
        <w:ind w:left="426"/>
        <w:rPr>
          <w:b/>
          <w:bCs/>
        </w:rPr>
      </w:pPr>
    </w:p>
    <w:p w14:paraId="51153F99" w14:textId="40BA0769" w:rsidR="00802D9A" w:rsidRPr="001E18FB" w:rsidRDefault="00802D9A" w:rsidP="00802D9A">
      <w:pPr>
        <w:pStyle w:val="Default"/>
        <w:numPr>
          <w:ilvl w:val="0"/>
          <w:numId w:val="15"/>
        </w:numPr>
        <w:ind w:left="426" w:hanging="426"/>
        <w:rPr>
          <w:b/>
          <w:bCs/>
        </w:rPr>
      </w:pPr>
      <w:r w:rsidRPr="00CE36F2">
        <w:rPr>
          <w:b/>
          <w:bCs/>
        </w:rPr>
        <w:t>Performance Measures.</w:t>
      </w:r>
      <w:r>
        <w:rPr>
          <w:b/>
          <w:bCs/>
        </w:rPr>
        <w:t xml:space="preserve"> </w:t>
      </w:r>
      <w:r>
        <w:rPr>
          <w:bCs/>
        </w:rPr>
        <w:t>These are the tools or methods that you will use to track the performance of the project against its stated aims. Ideally these should rely on quantifiable evidence, such as from surveys or changes in reported date such as homelessness rates, but we accept that for many outcomes (particularly soft outcomes) you may be reliant on anecdotal evidence.</w:t>
      </w:r>
    </w:p>
    <w:p w14:paraId="3BBB1957" w14:textId="77777777" w:rsidR="004B1CB0" w:rsidRPr="001E18FB" w:rsidRDefault="004B1CB0" w:rsidP="001E18FB">
      <w:pPr>
        <w:pStyle w:val="Default"/>
        <w:ind w:left="426"/>
        <w:rPr>
          <w:b/>
          <w:bCs/>
        </w:rPr>
      </w:pPr>
    </w:p>
    <w:p w14:paraId="2D06CD99" w14:textId="354674E4" w:rsidR="004B1CB0" w:rsidRDefault="004B1CB0" w:rsidP="00802D9A">
      <w:pPr>
        <w:pStyle w:val="Default"/>
        <w:numPr>
          <w:ilvl w:val="0"/>
          <w:numId w:val="15"/>
        </w:numPr>
        <w:ind w:left="426" w:hanging="426"/>
        <w:rPr>
          <w:b/>
          <w:bCs/>
        </w:rPr>
      </w:pPr>
      <w:r w:rsidRPr="001E18FB">
        <w:rPr>
          <w:b/>
          <w:bCs/>
        </w:rPr>
        <w:t>Targets</w:t>
      </w:r>
      <w:r>
        <w:rPr>
          <w:bCs/>
        </w:rPr>
        <w:t>. Where possible, a quantifiable target must be set for each outcome. If this is not possible because of the nature of the outcome, then an alternative means of measuring progress must be suggested.</w:t>
      </w:r>
    </w:p>
    <w:p w14:paraId="3735BDC1" w14:textId="77777777" w:rsidR="00802D9A" w:rsidRDefault="00802D9A" w:rsidP="00756599">
      <w:pPr>
        <w:pStyle w:val="Default"/>
        <w:ind w:left="426"/>
        <w:rPr>
          <w:b/>
          <w:bCs/>
        </w:rPr>
      </w:pPr>
    </w:p>
    <w:p w14:paraId="23BD618B" w14:textId="77777777" w:rsidR="00802D9A" w:rsidRPr="00CE36F2" w:rsidRDefault="00756599" w:rsidP="00802D9A">
      <w:pPr>
        <w:pStyle w:val="Default"/>
        <w:numPr>
          <w:ilvl w:val="0"/>
          <w:numId w:val="15"/>
        </w:numPr>
        <w:ind w:left="426" w:hanging="426"/>
        <w:rPr>
          <w:b/>
          <w:bCs/>
        </w:rPr>
      </w:pPr>
      <w:r>
        <w:rPr>
          <w:b/>
          <w:bCs/>
        </w:rPr>
        <w:t>Illustrative</w:t>
      </w:r>
      <w:r w:rsidR="00802D9A">
        <w:rPr>
          <w:b/>
          <w:bCs/>
        </w:rPr>
        <w:t xml:space="preserve"> Scenarios for Section 2.6</w:t>
      </w:r>
    </w:p>
    <w:p w14:paraId="3353CF77" w14:textId="77777777" w:rsidR="00AF5679" w:rsidRPr="00C27A0B" w:rsidRDefault="00AF5679" w:rsidP="00AF5679">
      <w:pPr>
        <w:pStyle w:val="EndnoteText"/>
        <w:ind w:left="426"/>
        <w:jc w:val="both"/>
        <w:rPr>
          <w:rStyle w:val="EndnoteReference"/>
          <w:b/>
          <w:bCs/>
          <w:sz w:val="24"/>
          <w:szCs w:val="24"/>
          <w:vertAlign w:val="baseline"/>
        </w:rPr>
      </w:pPr>
    </w:p>
    <w:p w14:paraId="314AC406" w14:textId="77777777" w:rsidR="00AF5679" w:rsidRDefault="00AF5679" w:rsidP="00756599">
      <w:pPr>
        <w:pStyle w:val="EndnoteText"/>
        <w:numPr>
          <w:ilvl w:val="0"/>
          <w:numId w:val="43"/>
        </w:numPr>
        <w:ind w:left="426"/>
        <w:jc w:val="both"/>
        <w:rPr>
          <w:bCs/>
          <w:sz w:val="24"/>
          <w:szCs w:val="24"/>
        </w:rPr>
      </w:pPr>
      <w:r w:rsidRPr="00C27A0B">
        <w:rPr>
          <w:rStyle w:val="EndnoteReference"/>
          <w:bCs/>
          <w:sz w:val="24"/>
          <w:szCs w:val="24"/>
          <w:vertAlign w:val="baseline"/>
        </w:rPr>
        <w:t xml:space="preserve">Were we to fund new equipment within a residential home, the input would be the grant, the output may be the number of users using the equipment or the number of times the equipment was used over a period and the outcomes might be measures of the improvement in the quality of life of the individual beneficiaries as measured for example through better integration into the community (increased mobility), reduced isolation or better rehabilitation results. </w:t>
      </w:r>
      <w:r w:rsidRPr="00C27A0B">
        <w:rPr>
          <w:bCs/>
          <w:sz w:val="24"/>
          <w:szCs w:val="24"/>
        </w:rPr>
        <w:t xml:space="preserve"> </w:t>
      </w:r>
      <w:r w:rsidRPr="00C27A0B">
        <w:rPr>
          <w:rStyle w:val="EndnoteReference"/>
          <w:bCs/>
          <w:sz w:val="24"/>
          <w:szCs w:val="24"/>
          <w:vertAlign w:val="baseline"/>
        </w:rPr>
        <w:t xml:space="preserve">Measures could include </w:t>
      </w:r>
      <w:r w:rsidRPr="00C27A0B">
        <w:rPr>
          <w:rStyle w:val="EndnoteReference"/>
          <w:bCs/>
          <w:sz w:val="24"/>
          <w:szCs w:val="24"/>
          <w:vertAlign w:val="baseline"/>
        </w:rPr>
        <w:lastRenderedPageBreak/>
        <w:t>direct questions to staff and users, feedback from professionals working with the users or anecdotal evidence from either staff or visitors.</w:t>
      </w:r>
    </w:p>
    <w:p w14:paraId="1C4EF213" w14:textId="77777777" w:rsidR="00802D9A" w:rsidRDefault="00802D9A">
      <w:pPr>
        <w:pStyle w:val="EndnoteText"/>
        <w:ind w:left="426"/>
        <w:jc w:val="both"/>
        <w:rPr>
          <w:bCs/>
          <w:sz w:val="24"/>
          <w:szCs w:val="24"/>
        </w:rPr>
      </w:pPr>
    </w:p>
    <w:p w14:paraId="1BA978DA" w14:textId="77777777" w:rsidR="00802D9A" w:rsidRDefault="00AF5679" w:rsidP="00756599">
      <w:pPr>
        <w:pStyle w:val="EndnoteText"/>
        <w:numPr>
          <w:ilvl w:val="0"/>
          <w:numId w:val="43"/>
        </w:numPr>
        <w:ind w:left="426"/>
        <w:jc w:val="both"/>
        <w:rPr>
          <w:bCs/>
          <w:sz w:val="24"/>
          <w:szCs w:val="24"/>
        </w:rPr>
      </w:pPr>
      <w:r w:rsidRPr="00C27A0B">
        <w:rPr>
          <w:rStyle w:val="EndnoteReference"/>
          <w:bCs/>
          <w:sz w:val="24"/>
          <w:szCs w:val="24"/>
          <w:vertAlign w:val="baseline"/>
        </w:rPr>
        <w:t xml:space="preserve">Were we to fund an advice worker to provide advice on benefits and entitlements then the input is the grant, the output may be the numbers receiving advice or the measurable increase in income for those individuals receiving the advice. The outcomes may be around an improvement in quality of life and disposable income leading to reduced poverty and less stress on those individual beneficiaries.  Measurement could be via a wide range of measures including questionnaires / phone surveys of beneficiaries, evidence of a reduction in court activity for debt or repossession (if case relates to rent / mortgage arrears) or evidence of less marital breakdown or family breakup.  </w:t>
      </w:r>
    </w:p>
    <w:p w14:paraId="4F8E14A4" w14:textId="77777777" w:rsidR="00FC1F10" w:rsidRDefault="00FC1F10" w:rsidP="00756599">
      <w:pPr>
        <w:pStyle w:val="Default"/>
        <w:rPr>
          <w:b/>
          <w:bCs/>
        </w:rPr>
      </w:pPr>
    </w:p>
    <w:p w14:paraId="18BAC26E" w14:textId="77777777" w:rsidR="006E68AA" w:rsidRPr="00756599" w:rsidRDefault="00750206" w:rsidP="00756599">
      <w:pPr>
        <w:pStyle w:val="Default"/>
        <w:ind w:left="426"/>
        <w:rPr>
          <w:b/>
          <w:color w:val="auto"/>
        </w:rPr>
      </w:pPr>
      <w:r w:rsidRPr="00756599">
        <w:rPr>
          <w:b/>
        </w:rPr>
        <w:t>Section 3</w:t>
      </w:r>
      <w:r w:rsidR="006E68AA">
        <w:rPr>
          <w:b/>
        </w:rPr>
        <w:t>:</w:t>
      </w:r>
      <w:r w:rsidRPr="00756599">
        <w:rPr>
          <w:b/>
        </w:rPr>
        <w:t xml:space="preserve"> Project Funding</w:t>
      </w:r>
    </w:p>
    <w:p w14:paraId="4FC1AA2F" w14:textId="77777777" w:rsidR="006E68AA" w:rsidRPr="00756599" w:rsidRDefault="006E68AA" w:rsidP="00756599">
      <w:pPr>
        <w:pStyle w:val="Default"/>
        <w:ind w:left="426"/>
        <w:rPr>
          <w:b/>
          <w:color w:val="auto"/>
        </w:rPr>
      </w:pPr>
    </w:p>
    <w:p w14:paraId="5448D6C2" w14:textId="40B7054B" w:rsidR="004B1CB0" w:rsidRPr="001E18FB" w:rsidRDefault="00802D9A" w:rsidP="00756599">
      <w:pPr>
        <w:pStyle w:val="Default"/>
        <w:numPr>
          <w:ilvl w:val="0"/>
          <w:numId w:val="15"/>
        </w:numPr>
        <w:ind w:left="426" w:hanging="426"/>
      </w:pPr>
      <w:r w:rsidRPr="00756599">
        <w:rPr>
          <w:b/>
        </w:rPr>
        <w:t>S</w:t>
      </w:r>
      <w:r w:rsidR="004B1CB0">
        <w:rPr>
          <w:b/>
        </w:rPr>
        <w:t xml:space="preserve">ection 3.2 Requested Funding. </w:t>
      </w:r>
      <w:r w:rsidR="004B1CB0">
        <w:t xml:space="preserve">This section should outline the funding you are seeking from the </w:t>
      </w:r>
      <w:proofErr w:type="spellStart"/>
      <w:r w:rsidR="004B1CB0">
        <w:t>SVF</w:t>
      </w:r>
      <w:proofErr w:type="spellEnd"/>
      <w:r w:rsidR="004B1CB0">
        <w:t xml:space="preserve"> and include a high level breakdown of what the funding will be spent on – examples could include materials, labour, recruitment costs, advertising, IT, venue hire etc. </w:t>
      </w:r>
    </w:p>
    <w:p w14:paraId="67A31C63" w14:textId="77777777" w:rsidR="004B1CB0" w:rsidRPr="001E18FB" w:rsidRDefault="004B1CB0" w:rsidP="001E18FB">
      <w:pPr>
        <w:pStyle w:val="Default"/>
        <w:ind w:left="426"/>
      </w:pPr>
    </w:p>
    <w:p w14:paraId="53AABE11" w14:textId="5043FB8A" w:rsidR="005410B3" w:rsidRDefault="004B1CB0" w:rsidP="00756599">
      <w:pPr>
        <w:pStyle w:val="Default"/>
        <w:numPr>
          <w:ilvl w:val="0"/>
          <w:numId w:val="15"/>
        </w:numPr>
        <w:ind w:left="426" w:hanging="426"/>
      </w:pPr>
      <w:r>
        <w:rPr>
          <w:b/>
        </w:rPr>
        <w:t>S</w:t>
      </w:r>
      <w:r w:rsidR="00802D9A" w:rsidRPr="00756599">
        <w:rPr>
          <w:b/>
        </w:rPr>
        <w:t xml:space="preserve">ection </w:t>
      </w:r>
      <w:r w:rsidR="00750206" w:rsidRPr="00756599">
        <w:rPr>
          <w:b/>
        </w:rPr>
        <w:t>3.4</w:t>
      </w:r>
      <w:r w:rsidR="00750206">
        <w:t xml:space="preserve"> </w:t>
      </w:r>
      <w:r w:rsidR="00750206">
        <w:rPr>
          <w:b/>
          <w:color w:val="auto"/>
        </w:rPr>
        <w:t>Delivery partners</w:t>
      </w:r>
      <w:r w:rsidR="006E68AA">
        <w:rPr>
          <w:b/>
          <w:color w:val="auto"/>
        </w:rPr>
        <w:t>.</w:t>
      </w:r>
      <w:r w:rsidR="00750206">
        <w:rPr>
          <w:color w:val="auto"/>
        </w:rPr>
        <w:t xml:space="preserve"> </w:t>
      </w:r>
      <w:r w:rsidR="006E68AA">
        <w:rPr>
          <w:color w:val="auto"/>
        </w:rPr>
        <w:t>P</w:t>
      </w:r>
      <w:r w:rsidR="00750206">
        <w:rPr>
          <w:color w:val="auto"/>
        </w:rPr>
        <w:t>rojects where additional partners deliver specific aspects of the programme on behalf of the applicant</w:t>
      </w:r>
      <w:r w:rsidR="006E68AA">
        <w:rPr>
          <w:color w:val="auto"/>
        </w:rPr>
        <w:t xml:space="preserve"> should highlight the roles of these partners and the value of work assigned to them here</w:t>
      </w:r>
      <w:r w:rsidR="00750206">
        <w:rPr>
          <w:color w:val="auto"/>
        </w:rPr>
        <w:t xml:space="preserve">. Please only include details in this section if applicable. </w:t>
      </w:r>
    </w:p>
    <w:p w14:paraId="584A68B8" w14:textId="77777777" w:rsidR="00814AEE" w:rsidRPr="00C806F2" w:rsidRDefault="00814AEE" w:rsidP="00814AEE">
      <w:pPr>
        <w:pStyle w:val="Default"/>
      </w:pPr>
    </w:p>
    <w:p w14:paraId="39A02CD1" w14:textId="77777777" w:rsidR="00814AEE" w:rsidRPr="00104C44" w:rsidRDefault="00814AEE" w:rsidP="00814AEE">
      <w:pPr>
        <w:pStyle w:val="Heading11"/>
        <w:spacing w:line="240" w:lineRule="auto"/>
        <w:rPr>
          <w:rFonts w:ascii="Arial" w:hAnsi="Arial" w:cs="Arial"/>
          <w:sz w:val="28"/>
          <w:szCs w:val="24"/>
        </w:rPr>
      </w:pPr>
      <w:r w:rsidRPr="00104C44">
        <w:rPr>
          <w:rFonts w:ascii="Arial" w:hAnsi="Arial" w:cs="Arial"/>
          <w:sz w:val="28"/>
          <w:szCs w:val="24"/>
        </w:rPr>
        <w:t>DECISION MAKING PROCESS</w:t>
      </w:r>
    </w:p>
    <w:p w14:paraId="50E41CD3" w14:textId="77777777" w:rsidR="00814AEE" w:rsidRPr="00C806F2" w:rsidRDefault="00814AEE" w:rsidP="00814AEE">
      <w:pPr>
        <w:pStyle w:val="Default"/>
        <w:rPr>
          <w:color w:val="FFFFFF"/>
        </w:rPr>
      </w:pPr>
      <w:r w:rsidRPr="00C806F2">
        <w:rPr>
          <w:b/>
          <w:bCs/>
          <w:color w:val="FFFFFF"/>
        </w:rPr>
        <w:t xml:space="preserve">DECISION MAKING PROCESS </w:t>
      </w:r>
    </w:p>
    <w:p w14:paraId="3EB964D3" w14:textId="40101451" w:rsidR="0052407E" w:rsidRPr="00C27A0B" w:rsidRDefault="00814AEE" w:rsidP="001E18FB">
      <w:pPr>
        <w:pStyle w:val="Default"/>
        <w:numPr>
          <w:ilvl w:val="0"/>
          <w:numId w:val="15"/>
        </w:numPr>
        <w:ind w:left="426" w:hanging="426"/>
        <w:rPr>
          <w:color w:val="auto"/>
        </w:rPr>
      </w:pPr>
      <w:r w:rsidRPr="00C27A0B">
        <w:rPr>
          <w:color w:val="auto"/>
        </w:rPr>
        <w:t xml:space="preserve">All applications will be considered by the </w:t>
      </w:r>
      <w:proofErr w:type="spellStart"/>
      <w:r w:rsidRPr="00C27A0B">
        <w:rPr>
          <w:color w:val="auto"/>
        </w:rPr>
        <w:t>SVF</w:t>
      </w:r>
      <w:proofErr w:type="spellEnd"/>
      <w:r w:rsidRPr="00C27A0B">
        <w:rPr>
          <w:color w:val="auto"/>
        </w:rPr>
        <w:t xml:space="preserve"> panel. This panel will be selected and chaired by the Scottish Veterans Commissioner, and will include representation from </w:t>
      </w:r>
      <w:proofErr w:type="spellStart"/>
      <w:r w:rsidR="009B447E">
        <w:rPr>
          <w:color w:val="auto"/>
        </w:rPr>
        <w:t>A</w:t>
      </w:r>
      <w:r w:rsidR="004B1CB0">
        <w:rPr>
          <w:color w:val="auto"/>
        </w:rPr>
        <w:t>brd</w:t>
      </w:r>
      <w:r w:rsidR="009B447E">
        <w:rPr>
          <w:color w:val="auto"/>
        </w:rPr>
        <w:t>n</w:t>
      </w:r>
      <w:proofErr w:type="spellEnd"/>
      <w:r w:rsidRPr="00C27A0B">
        <w:rPr>
          <w:color w:val="auto"/>
        </w:rPr>
        <w:t xml:space="preserve">, Veterans Scotland and other individuals with experience of veterans issues and/or grant-making in Scotland. </w:t>
      </w:r>
      <w:r w:rsidR="002572BC" w:rsidRPr="002321C8">
        <w:t xml:space="preserve">Panel assessments and recommendations will be submitted to the </w:t>
      </w:r>
      <w:r w:rsidR="00440C98">
        <w:t>Cabinet Secretary for Justice and Veterans</w:t>
      </w:r>
      <w:r w:rsidR="00FF40BD">
        <w:t xml:space="preserve"> who will make the final </w:t>
      </w:r>
      <w:r w:rsidR="002572BC">
        <w:t xml:space="preserve">decision </w:t>
      </w:r>
      <w:r w:rsidR="002572BC" w:rsidRPr="002321C8">
        <w:t>to support, or otherwise,</w:t>
      </w:r>
      <w:r w:rsidR="002572BC">
        <w:t xml:space="preserve"> projects</w:t>
      </w:r>
      <w:r w:rsidR="00FF40BD">
        <w:t xml:space="preserve">. </w:t>
      </w:r>
      <w:r w:rsidR="002572BC" w:rsidRPr="002321C8">
        <w:t>Scottish Ministers are under no obligation to accept recommendations of the panel and their decision is final. However, applicants may make fresh applications in respect of unsuccessful bids in subsequent years.</w:t>
      </w:r>
    </w:p>
    <w:p w14:paraId="695DCDD6" w14:textId="77777777" w:rsidR="00814AEE" w:rsidRPr="00C806F2" w:rsidRDefault="00814AEE" w:rsidP="00814AEE">
      <w:pPr>
        <w:pStyle w:val="Default"/>
      </w:pPr>
    </w:p>
    <w:p w14:paraId="4EAE8D1E" w14:textId="77777777" w:rsidR="00814AEE" w:rsidRPr="00104C44" w:rsidRDefault="00814AEE" w:rsidP="00814AEE">
      <w:pPr>
        <w:pStyle w:val="Heading11"/>
        <w:spacing w:line="240" w:lineRule="auto"/>
        <w:rPr>
          <w:rFonts w:ascii="Arial" w:hAnsi="Arial" w:cs="Arial"/>
          <w:sz w:val="28"/>
          <w:szCs w:val="24"/>
        </w:rPr>
      </w:pPr>
      <w:r w:rsidRPr="00104C44">
        <w:rPr>
          <w:rFonts w:ascii="Arial" w:hAnsi="Arial" w:cs="Arial"/>
          <w:sz w:val="28"/>
          <w:szCs w:val="24"/>
        </w:rPr>
        <w:t>FUNDS TRANSFER &amp; EVALUATION</w:t>
      </w:r>
    </w:p>
    <w:p w14:paraId="196893D7" w14:textId="77777777" w:rsidR="00814AEE" w:rsidRPr="00C806F2" w:rsidRDefault="00814AEE" w:rsidP="00814AEE">
      <w:pPr>
        <w:pStyle w:val="Default"/>
        <w:rPr>
          <w:color w:val="FFFFFF"/>
        </w:rPr>
      </w:pPr>
      <w:r w:rsidRPr="00C806F2">
        <w:rPr>
          <w:b/>
          <w:bCs/>
          <w:color w:val="FFFFFF"/>
        </w:rPr>
        <w:t xml:space="preserve">FUNDS TRANSFER &amp; EVALUATION </w:t>
      </w:r>
    </w:p>
    <w:p w14:paraId="5BFC4DB6" w14:textId="43E83EDE" w:rsidR="00814AEE" w:rsidRPr="00C806F2" w:rsidRDefault="00814AEE" w:rsidP="00C27A0B">
      <w:pPr>
        <w:pStyle w:val="Default"/>
        <w:numPr>
          <w:ilvl w:val="0"/>
          <w:numId w:val="15"/>
        </w:numPr>
        <w:ind w:left="426" w:hanging="426"/>
        <w:rPr>
          <w:color w:val="auto"/>
        </w:rPr>
      </w:pPr>
      <w:r w:rsidRPr="00C806F2">
        <w:rPr>
          <w:color w:val="auto"/>
        </w:rPr>
        <w:t xml:space="preserve">Once decisions are taken, applicants will be notified of the outcome before the end of the </w:t>
      </w:r>
      <w:r w:rsidR="00750206" w:rsidRPr="0045755D">
        <w:rPr>
          <w:color w:val="000000" w:themeColor="text1"/>
        </w:rPr>
        <w:t>2021-2022</w:t>
      </w:r>
      <w:r w:rsidR="006E68AA" w:rsidRPr="0045755D">
        <w:rPr>
          <w:color w:val="000000" w:themeColor="text1"/>
        </w:rPr>
        <w:t xml:space="preserve"> </w:t>
      </w:r>
      <w:r w:rsidRPr="0045755D">
        <w:rPr>
          <w:color w:val="000000" w:themeColor="text1"/>
        </w:rPr>
        <w:t>financial year. Funds will be transferred to successful applicants via Veterans Scotland as early as possible in April 20</w:t>
      </w:r>
      <w:r w:rsidR="002321C8" w:rsidRPr="0045755D">
        <w:rPr>
          <w:color w:val="000000" w:themeColor="text1"/>
        </w:rPr>
        <w:t>2</w:t>
      </w:r>
      <w:r w:rsidR="00B37AD8" w:rsidRPr="0045755D">
        <w:rPr>
          <w:color w:val="000000" w:themeColor="text1"/>
        </w:rPr>
        <w:t>2</w:t>
      </w:r>
      <w:r w:rsidR="002321C8" w:rsidRPr="0045755D">
        <w:rPr>
          <w:color w:val="000000" w:themeColor="text1"/>
        </w:rPr>
        <w:t xml:space="preserve"> upon applicants completion and return to Veterans Scotland of the </w:t>
      </w:r>
      <w:r w:rsidR="002321C8">
        <w:rPr>
          <w:color w:val="auto"/>
        </w:rPr>
        <w:t>Letter of Grant</w:t>
      </w:r>
      <w:r w:rsidRPr="00C806F2">
        <w:rPr>
          <w:color w:val="auto"/>
        </w:rPr>
        <w:t xml:space="preserve">. </w:t>
      </w:r>
    </w:p>
    <w:p w14:paraId="793E1834" w14:textId="77777777" w:rsidR="00814AEE" w:rsidRPr="00C806F2" w:rsidRDefault="00814AEE" w:rsidP="00104C44">
      <w:pPr>
        <w:pStyle w:val="Default"/>
        <w:rPr>
          <w:color w:val="auto"/>
        </w:rPr>
      </w:pPr>
    </w:p>
    <w:p w14:paraId="5E3381F8" w14:textId="5C4DC2C3" w:rsidR="0052407E" w:rsidRDefault="00814AEE" w:rsidP="00C27A0B">
      <w:pPr>
        <w:pStyle w:val="Default"/>
        <w:numPr>
          <w:ilvl w:val="0"/>
          <w:numId w:val="15"/>
        </w:numPr>
        <w:ind w:left="426" w:hanging="426"/>
        <w:rPr>
          <w:color w:val="auto"/>
        </w:rPr>
      </w:pPr>
      <w:r w:rsidRPr="00C806F2">
        <w:rPr>
          <w:color w:val="auto"/>
        </w:rPr>
        <w:t xml:space="preserve">All successful applicants for </w:t>
      </w:r>
      <w:r w:rsidR="0052407E">
        <w:rPr>
          <w:color w:val="auto"/>
        </w:rPr>
        <w:t xml:space="preserve">single year </w:t>
      </w:r>
      <w:r w:rsidRPr="00C806F2">
        <w:rPr>
          <w:color w:val="auto"/>
        </w:rPr>
        <w:t xml:space="preserve">funding will submit, via Veterans Scotland, an interim report after 6 months and then a fuller report within </w:t>
      </w:r>
      <w:r w:rsidR="002321C8">
        <w:rPr>
          <w:color w:val="auto"/>
        </w:rPr>
        <w:t>6 weeks</w:t>
      </w:r>
      <w:r w:rsidRPr="00C806F2">
        <w:rPr>
          <w:color w:val="auto"/>
        </w:rPr>
        <w:t xml:space="preserve"> of the end of the financial year in which the grant is received. </w:t>
      </w:r>
      <w:r w:rsidR="0052407E">
        <w:rPr>
          <w:color w:val="auto"/>
        </w:rPr>
        <w:t>All successful applicants will be expected to undertake effective measurement of, and reporting against, any and all outcomes as agreed in the Letter of Grant.</w:t>
      </w:r>
    </w:p>
    <w:p w14:paraId="790DE354" w14:textId="77777777" w:rsidR="0052407E" w:rsidRDefault="0052407E" w:rsidP="00C27A0B">
      <w:pPr>
        <w:pStyle w:val="Default"/>
        <w:ind w:left="426"/>
        <w:rPr>
          <w:color w:val="auto"/>
        </w:rPr>
      </w:pPr>
    </w:p>
    <w:p w14:paraId="48A39141" w14:textId="2E359B71" w:rsidR="009B447E" w:rsidRPr="0045755D" w:rsidRDefault="00814AEE" w:rsidP="00C27A0B">
      <w:pPr>
        <w:pStyle w:val="Default"/>
        <w:numPr>
          <w:ilvl w:val="0"/>
          <w:numId w:val="15"/>
        </w:numPr>
        <w:ind w:left="426" w:hanging="426"/>
        <w:rPr>
          <w:color w:val="000000" w:themeColor="text1"/>
        </w:rPr>
      </w:pPr>
      <w:r w:rsidRPr="00C806F2">
        <w:rPr>
          <w:color w:val="auto"/>
        </w:rPr>
        <w:t xml:space="preserve">These reports should also all include a statement of income and expenditure showing income from all sources and an appropriate breakdown of expenditure for the project in question. The statement of income and expenditure should be signed by authorised personnel. A standard progress report pro-forma </w:t>
      </w:r>
      <w:r w:rsidR="00DD7FFE">
        <w:rPr>
          <w:color w:val="auto"/>
        </w:rPr>
        <w:t>will be</w:t>
      </w:r>
      <w:r w:rsidR="00DD7FFE" w:rsidRPr="00C806F2">
        <w:rPr>
          <w:color w:val="auto"/>
        </w:rPr>
        <w:t xml:space="preserve"> </w:t>
      </w:r>
      <w:r w:rsidRPr="00C806F2">
        <w:rPr>
          <w:color w:val="auto"/>
        </w:rPr>
        <w:t xml:space="preserve">available from </w:t>
      </w:r>
      <w:r w:rsidRPr="0045755D">
        <w:rPr>
          <w:color w:val="000000" w:themeColor="text1"/>
        </w:rPr>
        <w:t>Veterans Scotland.</w:t>
      </w:r>
    </w:p>
    <w:p w14:paraId="3830DA69" w14:textId="77777777" w:rsidR="00F52F9D" w:rsidRDefault="00F52F9D" w:rsidP="001E18FB">
      <w:pPr>
        <w:pStyle w:val="Default"/>
        <w:ind w:left="426"/>
        <w:rPr>
          <w:b/>
          <w:bCs/>
          <w:caps/>
          <w:color w:val="FFFFFF"/>
          <w:sz w:val="28"/>
        </w:rPr>
      </w:pPr>
    </w:p>
    <w:p w14:paraId="4537B3AE" w14:textId="77777777" w:rsidR="00814AEE" w:rsidRPr="00104C44" w:rsidRDefault="00814AEE" w:rsidP="00814AEE">
      <w:pPr>
        <w:pStyle w:val="Heading11"/>
        <w:spacing w:line="240" w:lineRule="auto"/>
        <w:rPr>
          <w:rFonts w:ascii="Arial" w:hAnsi="Arial" w:cs="Arial"/>
          <w:sz w:val="28"/>
          <w:szCs w:val="24"/>
        </w:rPr>
      </w:pPr>
      <w:r w:rsidRPr="00104C44">
        <w:rPr>
          <w:rFonts w:ascii="Arial" w:hAnsi="Arial" w:cs="Arial"/>
          <w:sz w:val="28"/>
          <w:szCs w:val="24"/>
        </w:rPr>
        <w:t>grant conditions</w:t>
      </w:r>
    </w:p>
    <w:p w14:paraId="04F4E345" w14:textId="77777777" w:rsidR="00814AEE" w:rsidRPr="00C806F2" w:rsidRDefault="00814AEE" w:rsidP="00814AEE">
      <w:pPr>
        <w:pStyle w:val="Default"/>
        <w:rPr>
          <w:color w:val="FFFFFF"/>
        </w:rPr>
      </w:pPr>
      <w:r w:rsidRPr="00C806F2">
        <w:rPr>
          <w:b/>
          <w:bCs/>
          <w:color w:val="FFFFFF"/>
        </w:rPr>
        <w:t xml:space="preserve">GRANT CONDITIONS </w:t>
      </w:r>
    </w:p>
    <w:p w14:paraId="41BF855D" w14:textId="0F3FE53E" w:rsidR="00814AEE" w:rsidRPr="00C806F2" w:rsidRDefault="00814AEE" w:rsidP="00C27A0B">
      <w:pPr>
        <w:pStyle w:val="Default"/>
        <w:numPr>
          <w:ilvl w:val="0"/>
          <w:numId w:val="15"/>
        </w:numPr>
        <w:ind w:left="426" w:hanging="426"/>
        <w:rPr>
          <w:color w:val="auto"/>
        </w:rPr>
      </w:pPr>
      <w:r w:rsidRPr="00C806F2">
        <w:rPr>
          <w:color w:val="auto"/>
        </w:rPr>
        <w:t xml:space="preserve">The Scottish Government Conditions of Grant will apply to all awards made under the </w:t>
      </w:r>
      <w:proofErr w:type="spellStart"/>
      <w:r w:rsidRPr="00C806F2">
        <w:rPr>
          <w:color w:val="auto"/>
        </w:rPr>
        <w:t>SVF</w:t>
      </w:r>
      <w:proofErr w:type="spellEnd"/>
      <w:r w:rsidRPr="00C806F2">
        <w:rPr>
          <w:color w:val="auto"/>
        </w:rPr>
        <w:t>. These conditions will be included in any formal offer of funding</w:t>
      </w:r>
      <w:r w:rsidR="005E54C3">
        <w:rPr>
          <w:color w:val="auto"/>
        </w:rPr>
        <w:t xml:space="preserve"> which will highlight which organisation is to </w:t>
      </w:r>
      <w:r w:rsidR="007B0E3B">
        <w:rPr>
          <w:color w:val="auto"/>
        </w:rPr>
        <w:t>be</w:t>
      </w:r>
      <w:r w:rsidR="005E54C3">
        <w:rPr>
          <w:color w:val="auto"/>
        </w:rPr>
        <w:t xml:space="preserve"> the grant</w:t>
      </w:r>
      <w:r w:rsidR="007B0E3B">
        <w:rPr>
          <w:color w:val="auto"/>
        </w:rPr>
        <w:t xml:space="preserve"> maker</w:t>
      </w:r>
      <w:r w:rsidRPr="00C806F2">
        <w:rPr>
          <w:color w:val="auto"/>
        </w:rPr>
        <w:t xml:space="preserve">. All Scottish Government funding made available is subject to our standard regulations on management of public finances. </w:t>
      </w:r>
    </w:p>
    <w:p w14:paraId="6B6C1C92" w14:textId="77777777" w:rsidR="00814AEE" w:rsidRPr="00C806F2" w:rsidRDefault="00814AEE" w:rsidP="00104C44">
      <w:pPr>
        <w:pStyle w:val="Default"/>
        <w:rPr>
          <w:color w:val="auto"/>
        </w:rPr>
      </w:pPr>
    </w:p>
    <w:p w14:paraId="2D90FA70" w14:textId="53B4CFFB" w:rsidR="00814AEE" w:rsidRPr="00C806F2" w:rsidRDefault="00814AEE" w:rsidP="00C27A0B">
      <w:pPr>
        <w:pStyle w:val="Default"/>
        <w:numPr>
          <w:ilvl w:val="0"/>
          <w:numId w:val="15"/>
        </w:numPr>
        <w:ind w:left="426" w:hanging="426"/>
        <w:rPr>
          <w:color w:val="auto"/>
        </w:rPr>
      </w:pPr>
      <w:r w:rsidRPr="00C806F2">
        <w:rPr>
          <w:color w:val="auto"/>
        </w:rPr>
        <w:t xml:space="preserve">No changes to a project for which a </w:t>
      </w:r>
      <w:proofErr w:type="spellStart"/>
      <w:r w:rsidRPr="00C806F2">
        <w:rPr>
          <w:color w:val="auto"/>
        </w:rPr>
        <w:t>SVF</w:t>
      </w:r>
      <w:proofErr w:type="spellEnd"/>
      <w:r w:rsidRPr="00C806F2">
        <w:rPr>
          <w:color w:val="auto"/>
        </w:rPr>
        <w:t xml:space="preserve"> award are to be made without the prior written approval of the Scottish Government. In the event of unauthorised change to the project as agreed, then the Scottish Ministers will be entitled to recover from the recipient organisation some or all of the money originally provided, especially if the scope of the project has reduced.</w:t>
      </w:r>
    </w:p>
    <w:p w14:paraId="2DE455A8" w14:textId="77777777" w:rsidR="00814AEE" w:rsidRPr="00C806F2" w:rsidRDefault="00814AEE" w:rsidP="00104C44">
      <w:pPr>
        <w:pStyle w:val="Default"/>
        <w:rPr>
          <w:color w:val="auto"/>
        </w:rPr>
      </w:pPr>
    </w:p>
    <w:p w14:paraId="2BB6E600" w14:textId="24996E88" w:rsidR="00814AEE" w:rsidRPr="00C806F2" w:rsidRDefault="00814AEE" w:rsidP="00C27A0B">
      <w:pPr>
        <w:pStyle w:val="Default"/>
        <w:numPr>
          <w:ilvl w:val="0"/>
          <w:numId w:val="15"/>
        </w:numPr>
        <w:ind w:left="426" w:hanging="426"/>
        <w:rPr>
          <w:color w:val="auto"/>
        </w:rPr>
      </w:pPr>
      <w:r w:rsidRPr="00C806F2">
        <w:rPr>
          <w:color w:val="auto"/>
        </w:rPr>
        <w:t xml:space="preserve">It is not permissible for funding from one financial year to be carried forward into the following year, except with prior written agreement of either Scottish Ministers. Unspent funding at the end of the financial year must be returned to Scottish Ministers, except by prior agreement. </w:t>
      </w:r>
    </w:p>
    <w:p w14:paraId="22A24AEB" w14:textId="77777777" w:rsidR="00814AEE" w:rsidRPr="00C806F2" w:rsidRDefault="00814AEE" w:rsidP="00104C44">
      <w:pPr>
        <w:pStyle w:val="Default"/>
        <w:rPr>
          <w:color w:val="auto"/>
        </w:rPr>
      </w:pPr>
    </w:p>
    <w:p w14:paraId="4720E6B2" w14:textId="77777777" w:rsidR="00814AEE" w:rsidRPr="00C806F2" w:rsidRDefault="00814AEE" w:rsidP="00C27A0B">
      <w:pPr>
        <w:pStyle w:val="Default"/>
        <w:numPr>
          <w:ilvl w:val="0"/>
          <w:numId w:val="15"/>
        </w:numPr>
        <w:ind w:left="426" w:hanging="426"/>
        <w:rPr>
          <w:color w:val="auto"/>
        </w:rPr>
      </w:pPr>
      <w:r w:rsidRPr="00C806F2">
        <w:rPr>
          <w:color w:val="auto"/>
        </w:rPr>
        <w:t xml:space="preserve">Where public money has been applied to fund any tangible asset, in whole or in part, for example a network of PCs or office equipment, that asset is not to be sold or realized without the written permission of the provider of the public funding, in this case Scottish Ministers. </w:t>
      </w:r>
    </w:p>
    <w:p w14:paraId="543F25E3" w14:textId="77777777" w:rsidR="00814AEE" w:rsidRPr="00C806F2" w:rsidRDefault="00814AEE" w:rsidP="00814AEE">
      <w:pPr>
        <w:pStyle w:val="Default"/>
      </w:pPr>
    </w:p>
    <w:p w14:paraId="159D4C89" w14:textId="77777777" w:rsidR="00814AEE" w:rsidRPr="00104C44" w:rsidRDefault="00814AEE" w:rsidP="00814AEE">
      <w:pPr>
        <w:pStyle w:val="Heading11"/>
        <w:spacing w:line="240" w:lineRule="auto"/>
        <w:rPr>
          <w:rFonts w:ascii="Arial" w:hAnsi="Arial" w:cs="Arial"/>
          <w:sz w:val="28"/>
          <w:szCs w:val="24"/>
        </w:rPr>
      </w:pPr>
      <w:r w:rsidRPr="00104C44">
        <w:rPr>
          <w:rFonts w:ascii="Arial" w:hAnsi="Arial" w:cs="Arial"/>
          <w:sz w:val="28"/>
          <w:szCs w:val="24"/>
        </w:rPr>
        <w:t>contact details</w:t>
      </w:r>
    </w:p>
    <w:p w14:paraId="4E8DD9CB" w14:textId="77777777" w:rsidR="00814AEE" w:rsidRPr="00C806F2" w:rsidRDefault="00814AEE" w:rsidP="00814AEE">
      <w:pPr>
        <w:pStyle w:val="Default"/>
        <w:rPr>
          <w:color w:val="FFFFFF"/>
        </w:rPr>
      </w:pPr>
      <w:r w:rsidRPr="00C806F2">
        <w:rPr>
          <w:b/>
          <w:bCs/>
          <w:color w:val="FFFFFF"/>
        </w:rPr>
        <w:t xml:space="preserve">CONTACT DETAILS </w:t>
      </w:r>
    </w:p>
    <w:p w14:paraId="32E9192A" w14:textId="77777777" w:rsidR="00814AEE" w:rsidRPr="00A85A80" w:rsidRDefault="00814AEE" w:rsidP="00C27A0B">
      <w:pPr>
        <w:pStyle w:val="ListParagraph"/>
        <w:numPr>
          <w:ilvl w:val="0"/>
          <w:numId w:val="15"/>
        </w:numPr>
        <w:ind w:left="426" w:hanging="426"/>
        <w:rPr>
          <w:rFonts w:cs="Arial"/>
          <w:szCs w:val="24"/>
        </w:rPr>
      </w:pPr>
      <w:r w:rsidRPr="00C27A0B">
        <w:rPr>
          <w:rFonts w:ascii="Arial" w:hAnsi="Arial" w:cs="Arial"/>
          <w:sz w:val="24"/>
          <w:szCs w:val="24"/>
        </w:rPr>
        <w:t xml:space="preserve">Any questions on applications should be addressed to the General Secretary of Veterans Scotland who is happy to provide advice on 0131 550 1569 or, preferably, by email to </w:t>
      </w:r>
      <w:hyperlink r:id="rId17" w:history="1">
        <w:r w:rsidRPr="00C27A0B">
          <w:rPr>
            <w:rStyle w:val="Hyperlink"/>
            <w:rFonts w:ascii="Arial" w:hAnsi="Arial" w:cs="Arial"/>
            <w:sz w:val="24"/>
            <w:szCs w:val="24"/>
          </w:rPr>
          <w:t>office@veteransscotland.org.uk</w:t>
        </w:r>
      </w:hyperlink>
      <w:r w:rsidRPr="00C27A0B">
        <w:rPr>
          <w:rFonts w:ascii="Arial" w:hAnsi="Arial" w:cs="Arial"/>
          <w:sz w:val="24"/>
          <w:szCs w:val="24"/>
        </w:rPr>
        <w:t xml:space="preserve">. </w:t>
      </w:r>
    </w:p>
    <w:p w14:paraId="3377209F" w14:textId="77777777" w:rsidR="00E3599D" w:rsidRPr="00C806F2" w:rsidRDefault="00E3599D" w:rsidP="00EA4EBA">
      <w:pPr>
        <w:rPr>
          <w:szCs w:val="24"/>
        </w:rPr>
      </w:pPr>
    </w:p>
    <w:sectPr w:rsidR="00E3599D" w:rsidRPr="00C806F2" w:rsidSect="00104C44">
      <w:headerReference w:type="default" r:id="rId18"/>
      <w:footerReference w:type="default" r:id="rId19"/>
      <w:pgSz w:w="11906" w:h="16838" w:code="9"/>
      <w:pgMar w:top="1440" w:right="1440" w:bottom="1440" w:left="1440" w:header="301"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008C" w14:textId="77777777" w:rsidR="00B72E2E" w:rsidRDefault="00B72E2E">
      <w:pPr>
        <w:spacing w:line="240" w:lineRule="auto"/>
      </w:pPr>
      <w:r>
        <w:separator/>
      </w:r>
    </w:p>
  </w:endnote>
  <w:endnote w:type="continuationSeparator" w:id="0">
    <w:p w14:paraId="6BB5CF26" w14:textId="77777777" w:rsidR="00B72E2E" w:rsidRDefault="00B72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021733"/>
      <w:docPartObj>
        <w:docPartGallery w:val="Page Numbers (Bottom of Page)"/>
        <w:docPartUnique/>
      </w:docPartObj>
    </w:sdtPr>
    <w:sdtEndPr/>
    <w:sdtContent>
      <w:sdt>
        <w:sdtPr>
          <w:id w:val="1728636285"/>
          <w:docPartObj>
            <w:docPartGallery w:val="Page Numbers (Top of Page)"/>
            <w:docPartUnique/>
          </w:docPartObj>
        </w:sdtPr>
        <w:sdtEndPr/>
        <w:sdtContent>
          <w:p w14:paraId="340DC627" w14:textId="5ED6B65A" w:rsidR="008B7D49" w:rsidRDefault="008B7D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5755D">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5755D">
              <w:rPr>
                <w:b/>
                <w:bCs/>
                <w:noProof/>
              </w:rPr>
              <w:t>10</w:t>
            </w:r>
            <w:r>
              <w:rPr>
                <w:b/>
                <w:bCs/>
                <w:szCs w:val="24"/>
              </w:rPr>
              <w:fldChar w:fldCharType="end"/>
            </w:r>
          </w:p>
        </w:sdtContent>
      </w:sdt>
    </w:sdtContent>
  </w:sdt>
  <w:p w14:paraId="0F779E83"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C870" w14:textId="77777777" w:rsidR="00B72E2E" w:rsidRDefault="00B72E2E">
      <w:pPr>
        <w:spacing w:line="240" w:lineRule="auto"/>
      </w:pPr>
      <w:r>
        <w:separator/>
      </w:r>
    </w:p>
  </w:footnote>
  <w:footnote w:type="continuationSeparator" w:id="0">
    <w:p w14:paraId="6834C969" w14:textId="77777777" w:rsidR="00B72E2E" w:rsidRDefault="00B72E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A183"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F561CA"/>
    <w:multiLevelType w:val="hybridMultilevel"/>
    <w:tmpl w:val="A110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316"/>
    <w:multiLevelType w:val="hybridMultilevel"/>
    <w:tmpl w:val="030C6408"/>
    <w:lvl w:ilvl="0" w:tplc="707CC0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40DA7"/>
    <w:multiLevelType w:val="hybridMultilevel"/>
    <w:tmpl w:val="F41C8DC4"/>
    <w:lvl w:ilvl="0" w:tplc="707CC0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663AF"/>
    <w:multiLevelType w:val="multilevel"/>
    <w:tmpl w:val="012E9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A863C4"/>
    <w:multiLevelType w:val="hybridMultilevel"/>
    <w:tmpl w:val="292E2C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0F22D35"/>
    <w:multiLevelType w:val="hybridMultilevel"/>
    <w:tmpl w:val="253CDDC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1463ED3"/>
    <w:multiLevelType w:val="hybridMultilevel"/>
    <w:tmpl w:val="61BCD14A"/>
    <w:lvl w:ilvl="0" w:tplc="AEC653D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94DF4"/>
    <w:multiLevelType w:val="hybridMultilevel"/>
    <w:tmpl w:val="367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5250D"/>
    <w:multiLevelType w:val="hybridMultilevel"/>
    <w:tmpl w:val="BF72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A29BC"/>
    <w:multiLevelType w:val="hybridMultilevel"/>
    <w:tmpl w:val="AEA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62F45"/>
    <w:multiLevelType w:val="hybridMultilevel"/>
    <w:tmpl w:val="2F5EA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27B1F"/>
    <w:multiLevelType w:val="multilevel"/>
    <w:tmpl w:val="32AEC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55411"/>
    <w:multiLevelType w:val="hybridMultilevel"/>
    <w:tmpl w:val="B3320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E54CD"/>
    <w:multiLevelType w:val="hybridMultilevel"/>
    <w:tmpl w:val="2DE87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A5BDF"/>
    <w:multiLevelType w:val="hybridMultilevel"/>
    <w:tmpl w:val="948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87F8A"/>
    <w:multiLevelType w:val="hybridMultilevel"/>
    <w:tmpl w:val="2856D220"/>
    <w:lvl w:ilvl="0" w:tplc="707CC0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712CB"/>
    <w:multiLevelType w:val="hybridMultilevel"/>
    <w:tmpl w:val="523C1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3FED6"/>
    <w:multiLevelType w:val="hybridMultilevel"/>
    <w:tmpl w:val="589799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AB5BEB"/>
    <w:multiLevelType w:val="hybridMultilevel"/>
    <w:tmpl w:val="304EA202"/>
    <w:lvl w:ilvl="0" w:tplc="8E48E88A">
      <w:start w:val="1"/>
      <w:numFmt w:val="decimal"/>
      <w:lvlText w:val="%1."/>
      <w:lvlJc w:val="left"/>
      <w:pPr>
        <w:ind w:left="5321" w:hanging="360"/>
      </w:pPr>
      <w:rPr>
        <w:rFonts w:ascii="Arial" w:hAnsi="Arial" w:cs="Aria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40824"/>
    <w:multiLevelType w:val="hybridMultilevel"/>
    <w:tmpl w:val="21B0C3F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C3F6A22"/>
    <w:multiLevelType w:val="hybridMultilevel"/>
    <w:tmpl w:val="DA2A1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963DF"/>
    <w:multiLevelType w:val="hybridMultilevel"/>
    <w:tmpl w:val="3F7E4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676391"/>
    <w:multiLevelType w:val="hybridMultilevel"/>
    <w:tmpl w:val="DA30D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A8651B"/>
    <w:multiLevelType w:val="hybridMultilevel"/>
    <w:tmpl w:val="0B26FB5E"/>
    <w:lvl w:ilvl="0" w:tplc="707CC0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F4155"/>
    <w:multiLevelType w:val="hybridMultilevel"/>
    <w:tmpl w:val="4768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B10FD"/>
    <w:multiLevelType w:val="hybridMultilevel"/>
    <w:tmpl w:val="C2A0F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E0A219F"/>
    <w:multiLevelType w:val="hybridMultilevel"/>
    <w:tmpl w:val="B0728D18"/>
    <w:lvl w:ilvl="0" w:tplc="707CC0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739A0"/>
    <w:multiLevelType w:val="hybridMultilevel"/>
    <w:tmpl w:val="C896D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47AE6"/>
    <w:multiLevelType w:val="hybridMultilevel"/>
    <w:tmpl w:val="4EE8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958DB"/>
    <w:multiLevelType w:val="hybridMultilevel"/>
    <w:tmpl w:val="0194E2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634C5"/>
    <w:multiLevelType w:val="multilevel"/>
    <w:tmpl w:val="32AEC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747091"/>
    <w:multiLevelType w:val="hybridMultilevel"/>
    <w:tmpl w:val="67D0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97407"/>
    <w:multiLevelType w:val="hybridMultilevel"/>
    <w:tmpl w:val="27F696B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32548A8"/>
    <w:multiLevelType w:val="hybridMultilevel"/>
    <w:tmpl w:val="33165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24129"/>
    <w:multiLevelType w:val="hybridMultilevel"/>
    <w:tmpl w:val="20AC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7" w15:restartNumberingAfterBreak="0">
    <w:nsid w:val="6C09510E"/>
    <w:multiLevelType w:val="hybridMultilevel"/>
    <w:tmpl w:val="9FDC4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A82BFE"/>
    <w:multiLevelType w:val="hybridMultilevel"/>
    <w:tmpl w:val="E83E3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2555A9"/>
    <w:multiLevelType w:val="hybridMultilevel"/>
    <w:tmpl w:val="0E76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0274D"/>
    <w:multiLevelType w:val="hybridMultilevel"/>
    <w:tmpl w:val="F53A3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0"/>
  </w:num>
  <w:num w:numId="3">
    <w:abstractNumId w:val="0"/>
  </w:num>
  <w:num w:numId="4">
    <w:abstractNumId w:val="0"/>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29"/>
  </w:num>
  <w:num w:numId="14">
    <w:abstractNumId w:val="15"/>
  </w:num>
  <w:num w:numId="15">
    <w:abstractNumId w:val="19"/>
  </w:num>
  <w:num w:numId="16">
    <w:abstractNumId w:val="22"/>
  </w:num>
  <w:num w:numId="17">
    <w:abstractNumId w:val="13"/>
  </w:num>
  <w:num w:numId="18">
    <w:abstractNumId w:val="28"/>
  </w:num>
  <w:num w:numId="19">
    <w:abstractNumId w:val="17"/>
  </w:num>
  <w:num w:numId="20">
    <w:abstractNumId w:val="37"/>
  </w:num>
  <w:num w:numId="21">
    <w:abstractNumId w:val="21"/>
  </w:num>
  <w:num w:numId="22">
    <w:abstractNumId w:val="11"/>
  </w:num>
  <w:num w:numId="23">
    <w:abstractNumId w:val="14"/>
  </w:num>
  <w:num w:numId="24">
    <w:abstractNumId w:val="34"/>
  </w:num>
  <w:num w:numId="25">
    <w:abstractNumId w:val="7"/>
  </w:num>
  <w:num w:numId="26">
    <w:abstractNumId w:val="40"/>
  </w:num>
  <w:num w:numId="27">
    <w:abstractNumId w:val="24"/>
  </w:num>
  <w:num w:numId="28">
    <w:abstractNumId w:val="16"/>
  </w:num>
  <w:num w:numId="29">
    <w:abstractNumId w:val="2"/>
  </w:num>
  <w:num w:numId="30">
    <w:abstractNumId w:val="27"/>
  </w:num>
  <w:num w:numId="31">
    <w:abstractNumId w:val="3"/>
  </w:num>
  <w:num w:numId="32">
    <w:abstractNumId w:val="35"/>
  </w:num>
  <w:num w:numId="33">
    <w:abstractNumId w:val="6"/>
  </w:num>
  <w:num w:numId="34">
    <w:abstractNumId w:val="30"/>
  </w:num>
  <w:num w:numId="35">
    <w:abstractNumId w:val="33"/>
  </w:num>
  <w:num w:numId="36">
    <w:abstractNumId w:val="5"/>
  </w:num>
  <w:num w:numId="37">
    <w:abstractNumId w:val="26"/>
  </w:num>
  <w:num w:numId="38">
    <w:abstractNumId w:val="32"/>
  </w:num>
  <w:num w:numId="39">
    <w:abstractNumId w:val="10"/>
  </w:num>
  <w:num w:numId="40">
    <w:abstractNumId w:val="39"/>
  </w:num>
  <w:num w:numId="41">
    <w:abstractNumId w:val="25"/>
  </w:num>
  <w:num w:numId="42">
    <w:abstractNumId w:val="1"/>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BA"/>
    <w:rsid w:val="00031CBE"/>
    <w:rsid w:val="00035FED"/>
    <w:rsid w:val="000465F6"/>
    <w:rsid w:val="00051D66"/>
    <w:rsid w:val="00054CF0"/>
    <w:rsid w:val="00062E89"/>
    <w:rsid w:val="000C202B"/>
    <w:rsid w:val="000C53C8"/>
    <w:rsid w:val="000C67CB"/>
    <w:rsid w:val="000D225A"/>
    <w:rsid w:val="000D2E10"/>
    <w:rsid w:val="000D531E"/>
    <w:rsid w:val="00100021"/>
    <w:rsid w:val="00104C44"/>
    <w:rsid w:val="00123501"/>
    <w:rsid w:val="001248DC"/>
    <w:rsid w:val="00124F2D"/>
    <w:rsid w:val="001267F7"/>
    <w:rsid w:val="00127A97"/>
    <w:rsid w:val="00143C20"/>
    <w:rsid w:val="001472AC"/>
    <w:rsid w:val="001560B2"/>
    <w:rsid w:val="00156479"/>
    <w:rsid w:val="0015670A"/>
    <w:rsid w:val="00157346"/>
    <w:rsid w:val="00173A81"/>
    <w:rsid w:val="00177867"/>
    <w:rsid w:val="00192DC7"/>
    <w:rsid w:val="001A1320"/>
    <w:rsid w:val="001B7749"/>
    <w:rsid w:val="001E18FB"/>
    <w:rsid w:val="001F202B"/>
    <w:rsid w:val="001F7956"/>
    <w:rsid w:val="0020485C"/>
    <w:rsid w:val="0020649D"/>
    <w:rsid w:val="002321C8"/>
    <w:rsid w:val="002437E7"/>
    <w:rsid w:val="002572BC"/>
    <w:rsid w:val="00267E51"/>
    <w:rsid w:val="002732F8"/>
    <w:rsid w:val="002831CB"/>
    <w:rsid w:val="0028488A"/>
    <w:rsid w:val="00295641"/>
    <w:rsid w:val="00297786"/>
    <w:rsid w:val="002A2257"/>
    <w:rsid w:val="002E1899"/>
    <w:rsid w:val="002F2075"/>
    <w:rsid w:val="002F3688"/>
    <w:rsid w:val="002F49E4"/>
    <w:rsid w:val="002F68EE"/>
    <w:rsid w:val="003037F5"/>
    <w:rsid w:val="003075EB"/>
    <w:rsid w:val="0032257B"/>
    <w:rsid w:val="003812C7"/>
    <w:rsid w:val="003831C3"/>
    <w:rsid w:val="00383471"/>
    <w:rsid w:val="0039479B"/>
    <w:rsid w:val="0039749F"/>
    <w:rsid w:val="003B3998"/>
    <w:rsid w:val="003C5112"/>
    <w:rsid w:val="003C60A1"/>
    <w:rsid w:val="003C68C2"/>
    <w:rsid w:val="003D26CE"/>
    <w:rsid w:val="003F2479"/>
    <w:rsid w:val="00411FC4"/>
    <w:rsid w:val="00440C98"/>
    <w:rsid w:val="0045755D"/>
    <w:rsid w:val="00465737"/>
    <w:rsid w:val="00471EB4"/>
    <w:rsid w:val="00493548"/>
    <w:rsid w:val="00496C95"/>
    <w:rsid w:val="004B1CB0"/>
    <w:rsid w:val="004C6CD7"/>
    <w:rsid w:val="004D2187"/>
    <w:rsid w:val="004E6B4C"/>
    <w:rsid w:val="004F033D"/>
    <w:rsid w:val="0052407E"/>
    <w:rsid w:val="005410B3"/>
    <w:rsid w:val="0054239A"/>
    <w:rsid w:val="0054660F"/>
    <w:rsid w:val="00551BD4"/>
    <w:rsid w:val="00554D51"/>
    <w:rsid w:val="00557269"/>
    <w:rsid w:val="0056658E"/>
    <w:rsid w:val="00586DDC"/>
    <w:rsid w:val="0059031A"/>
    <w:rsid w:val="0059293B"/>
    <w:rsid w:val="005A6313"/>
    <w:rsid w:val="005B4098"/>
    <w:rsid w:val="005E54C3"/>
    <w:rsid w:val="006010D7"/>
    <w:rsid w:val="00606765"/>
    <w:rsid w:val="00611745"/>
    <w:rsid w:val="006137E4"/>
    <w:rsid w:val="00615533"/>
    <w:rsid w:val="00622F92"/>
    <w:rsid w:val="006439FC"/>
    <w:rsid w:val="00651C24"/>
    <w:rsid w:val="00661356"/>
    <w:rsid w:val="00664354"/>
    <w:rsid w:val="00671106"/>
    <w:rsid w:val="0067486A"/>
    <w:rsid w:val="00687B55"/>
    <w:rsid w:val="00691603"/>
    <w:rsid w:val="006B2E5F"/>
    <w:rsid w:val="006C5A5B"/>
    <w:rsid w:val="006D26F7"/>
    <w:rsid w:val="006D34D7"/>
    <w:rsid w:val="006E68AA"/>
    <w:rsid w:val="00712F66"/>
    <w:rsid w:val="00720485"/>
    <w:rsid w:val="007418C8"/>
    <w:rsid w:val="00750206"/>
    <w:rsid w:val="0075426E"/>
    <w:rsid w:val="00756599"/>
    <w:rsid w:val="0076051F"/>
    <w:rsid w:val="007610FF"/>
    <w:rsid w:val="0077190C"/>
    <w:rsid w:val="00780EB0"/>
    <w:rsid w:val="00786177"/>
    <w:rsid w:val="007904B1"/>
    <w:rsid w:val="007A149C"/>
    <w:rsid w:val="007A3A86"/>
    <w:rsid w:val="007A71E0"/>
    <w:rsid w:val="007A75D0"/>
    <w:rsid w:val="007B0E3B"/>
    <w:rsid w:val="007C2A92"/>
    <w:rsid w:val="007D30AA"/>
    <w:rsid w:val="007D685E"/>
    <w:rsid w:val="007E5237"/>
    <w:rsid w:val="007E737C"/>
    <w:rsid w:val="00802D9A"/>
    <w:rsid w:val="00814AEE"/>
    <w:rsid w:val="008202EE"/>
    <w:rsid w:val="0082341D"/>
    <w:rsid w:val="008277E1"/>
    <w:rsid w:val="00866375"/>
    <w:rsid w:val="00875E1D"/>
    <w:rsid w:val="00876CF3"/>
    <w:rsid w:val="0089291F"/>
    <w:rsid w:val="008B4F42"/>
    <w:rsid w:val="008B7D49"/>
    <w:rsid w:val="008C12AD"/>
    <w:rsid w:val="008C12E6"/>
    <w:rsid w:val="008C75E1"/>
    <w:rsid w:val="008F20A3"/>
    <w:rsid w:val="008F331A"/>
    <w:rsid w:val="00902C71"/>
    <w:rsid w:val="0090798C"/>
    <w:rsid w:val="00911448"/>
    <w:rsid w:val="00913E95"/>
    <w:rsid w:val="00933B6A"/>
    <w:rsid w:val="009370BD"/>
    <w:rsid w:val="00942067"/>
    <w:rsid w:val="00944A76"/>
    <w:rsid w:val="00952710"/>
    <w:rsid w:val="00954F68"/>
    <w:rsid w:val="00991CE5"/>
    <w:rsid w:val="0099446A"/>
    <w:rsid w:val="00996160"/>
    <w:rsid w:val="00996E9E"/>
    <w:rsid w:val="009B18AB"/>
    <w:rsid w:val="009B38A6"/>
    <w:rsid w:val="009B43B6"/>
    <w:rsid w:val="009B447E"/>
    <w:rsid w:val="009D0907"/>
    <w:rsid w:val="009E0762"/>
    <w:rsid w:val="009F6325"/>
    <w:rsid w:val="009F71B8"/>
    <w:rsid w:val="00A41E93"/>
    <w:rsid w:val="00A4625E"/>
    <w:rsid w:val="00A56EBA"/>
    <w:rsid w:val="00A82E1E"/>
    <w:rsid w:val="00A85A80"/>
    <w:rsid w:val="00A90A53"/>
    <w:rsid w:val="00AA1D90"/>
    <w:rsid w:val="00AA3EB8"/>
    <w:rsid w:val="00AB54FF"/>
    <w:rsid w:val="00AB72DB"/>
    <w:rsid w:val="00AC11FA"/>
    <w:rsid w:val="00AC310B"/>
    <w:rsid w:val="00AC5CC8"/>
    <w:rsid w:val="00AE01CB"/>
    <w:rsid w:val="00AF169B"/>
    <w:rsid w:val="00AF23CE"/>
    <w:rsid w:val="00AF5679"/>
    <w:rsid w:val="00B34DCE"/>
    <w:rsid w:val="00B37AD8"/>
    <w:rsid w:val="00B46EF6"/>
    <w:rsid w:val="00B50E30"/>
    <w:rsid w:val="00B576FE"/>
    <w:rsid w:val="00B72E2E"/>
    <w:rsid w:val="00B83923"/>
    <w:rsid w:val="00B92A32"/>
    <w:rsid w:val="00B956E6"/>
    <w:rsid w:val="00B97145"/>
    <w:rsid w:val="00BB692A"/>
    <w:rsid w:val="00C1368B"/>
    <w:rsid w:val="00C22013"/>
    <w:rsid w:val="00C27A0B"/>
    <w:rsid w:val="00C27CC2"/>
    <w:rsid w:val="00C3719B"/>
    <w:rsid w:val="00C42667"/>
    <w:rsid w:val="00C51FB1"/>
    <w:rsid w:val="00C536C6"/>
    <w:rsid w:val="00C72966"/>
    <w:rsid w:val="00C772D9"/>
    <w:rsid w:val="00C806F2"/>
    <w:rsid w:val="00C86FBA"/>
    <w:rsid w:val="00CA0B7F"/>
    <w:rsid w:val="00CA5E51"/>
    <w:rsid w:val="00CA6A7E"/>
    <w:rsid w:val="00CC284E"/>
    <w:rsid w:val="00CC723A"/>
    <w:rsid w:val="00CC73F9"/>
    <w:rsid w:val="00CE27CD"/>
    <w:rsid w:val="00D149B2"/>
    <w:rsid w:val="00D17B44"/>
    <w:rsid w:val="00D201AD"/>
    <w:rsid w:val="00D30023"/>
    <w:rsid w:val="00D333DE"/>
    <w:rsid w:val="00D333FF"/>
    <w:rsid w:val="00D35C3A"/>
    <w:rsid w:val="00D35C4F"/>
    <w:rsid w:val="00D521BB"/>
    <w:rsid w:val="00D6328A"/>
    <w:rsid w:val="00D87B46"/>
    <w:rsid w:val="00D93FE9"/>
    <w:rsid w:val="00D949AF"/>
    <w:rsid w:val="00DA34D5"/>
    <w:rsid w:val="00DD5554"/>
    <w:rsid w:val="00DD7FFE"/>
    <w:rsid w:val="00DE0433"/>
    <w:rsid w:val="00E21196"/>
    <w:rsid w:val="00E3599D"/>
    <w:rsid w:val="00E36759"/>
    <w:rsid w:val="00E42DCB"/>
    <w:rsid w:val="00E43C11"/>
    <w:rsid w:val="00E4751B"/>
    <w:rsid w:val="00EA4EBA"/>
    <w:rsid w:val="00EA5311"/>
    <w:rsid w:val="00EB1488"/>
    <w:rsid w:val="00EC18B8"/>
    <w:rsid w:val="00ED5DA1"/>
    <w:rsid w:val="00EE0278"/>
    <w:rsid w:val="00EF6318"/>
    <w:rsid w:val="00F14427"/>
    <w:rsid w:val="00F15C9A"/>
    <w:rsid w:val="00F20E6E"/>
    <w:rsid w:val="00F2417E"/>
    <w:rsid w:val="00F325BB"/>
    <w:rsid w:val="00F346F4"/>
    <w:rsid w:val="00F52F9D"/>
    <w:rsid w:val="00F539C1"/>
    <w:rsid w:val="00F649DD"/>
    <w:rsid w:val="00F662E4"/>
    <w:rsid w:val="00F71B17"/>
    <w:rsid w:val="00F74E21"/>
    <w:rsid w:val="00F84CFA"/>
    <w:rsid w:val="00F950ED"/>
    <w:rsid w:val="00FA473D"/>
    <w:rsid w:val="00FA58E6"/>
    <w:rsid w:val="00FC19BA"/>
    <w:rsid w:val="00FC1F10"/>
    <w:rsid w:val="00FD5DEB"/>
    <w:rsid w:val="00FE62FE"/>
    <w:rsid w:val="00FF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E64B5"/>
  <w15:docId w15:val="{19BCCD6E-36CF-4B66-9EAF-C31DD78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EA4EBA"/>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651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24"/>
    <w:rPr>
      <w:rFonts w:ascii="Tahoma" w:hAnsi="Tahoma" w:cs="Tahoma"/>
      <w:sz w:val="16"/>
      <w:szCs w:val="16"/>
      <w:lang w:eastAsia="en-US"/>
    </w:rPr>
  </w:style>
  <w:style w:type="character" w:styleId="CommentReference">
    <w:name w:val="annotation reference"/>
    <w:basedOn w:val="DefaultParagraphFont"/>
    <w:uiPriority w:val="99"/>
    <w:semiHidden/>
    <w:unhideWhenUsed/>
    <w:rsid w:val="00127A97"/>
    <w:rPr>
      <w:sz w:val="16"/>
      <w:szCs w:val="16"/>
    </w:rPr>
  </w:style>
  <w:style w:type="paragraph" w:styleId="CommentText">
    <w:name w:val="annotation text"/>
    <w:basedOn w:val="Normal"/>
    <w:link w:val="CommentTextChar"/>
    <w:semiHidden/>
    <w:unhideWhenUsed/>
    <w:rsid w:val="00127A97"/>
    <w:pPr>
      <w:spacing w:line="240" w:lineRule="auto"/>
    </w:pPr>
    <w:rPr>
      <w:sz w:val="20"/>
    </w:rPr>
  </w:style>
  <w:style w:type="character" w:customStyle="1" w:styleId="CommentTextChar">
    <w:name w:val="Comment Text Char"/>
    <w:basedOn w:val="DefaultParagraphFont"/>
    <w:link w:val="CommentText"/>
    <w:semiHidden/>
    <w:rsid w:val="00127A97"/>
    <w:rPr>
      <w:sz w:val="20"/>
      <w:lang w:eastAsia="en-US"/>
    </w:rPr>
  </w:style>
  <w:style w:type="paragraph" w:styleId="CommentSubject">
    <w:name w:val="annotation subject"/>
    <w:basedOn w:val="CommentText"/>
    <w:next w:val="CommentText"/>
    <w:link w:val="CommentSubjectChar"/>
    <w:uiPriority w:val="99"/>
    <w:semiHidden/>
    <w:unhideWhenUsed/>
    <w:rsid w:val="00127A97"/>
    <w:rPr>
      <w:b/>
      <w:bCs/>
    </w:rPr>
  </w:style>
  <w:style w:type="character" w:customStyle="1" w:styleId="CommentSubjectChar">
    <w:name w:val="Comment Subject Char"/>
    <w:basedOn w:val="CommentTextChar"/>
    <w:link w:val="CommentSubject"/>
    <w:uiPriority w:val="99"/>
    <w:semiHidden/>
    <w:rsid w:val="00127A97"/>
    <w:rPr>
      <w:b/>
      <w:bCs/>
      <w:sz w:val="20"/>
      <w:lang w:eastAsia="en-US"/>
    </w:rPr>
  </w:style>
  <w:style w:type="paragraph" w:styleId="ListParagraph">
    <w:name w:val="List Paragraph"/>
    <w:basedOn w:val="Normal"/>
    <w:uiPriority w:val="34"/>
    <w:qFormat/>
    <w:rsid w:val="00991CE5"/>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Theme="minorHAnsi" w:hAnsi="Calibri"/>
      <w:sz w:val="22"/>
      <w:szCs w:val="22"/>
    </w:rPr>
  </w:style>
  <w:style w:type="character" w:styleId="Hyperlink">
    <w:name w:val="Hyperlink"/>
    <w:basedOn w:val="DefaultParagraphFont"/>
    <w:uiPriority w:val="99"/>
    <w:unhideWhenUsed/>
    <w:rsid w:val="00123501"/>
    <w:rPr>
      <w:color w:val="0000FF"/>
      <w:u w:val="single"/>
    </w:rPr>
  </w:style>
  <w:style w:type="character" w:styleId="EndnoteReference">
    <w:name w:val="endnote reference"/>
    <w:basedOn w:val="DefaultParagraphFont"/>
    <w:semiHidden/>
    <w:rsid w:val="002F2075"/>
    <w:rPr>
      <w:vertAlign w:val="superscript"/>
    </w:rPr>
  </w:style>
  <w:style w:type="paragraph" w:customStyle="1" w:styleId="Heading11">
    <w:name w:val="Heading 11"/>
    <w:basedOn w:val="Normal"/>
    <w:uiPriority w:val="99"/>
    <w:rsid w:val="00062E89"/>
    <w:pPr>
      <w:shd w:val="clear" w:color="auto" w:fill="0C0C0C"/>
    </w:pPr>
    <w:rPr>
      <w:rFonts w:ascii="Arial Bold" w:hAnsi="Arial Bold"/>
      <w:b/>
      <w:bCs/>
      <w:caps/>
      <w:color w:val="FFFFFF"/>
      <w:sz w:val="22"/>
    </w:rPr>
  </w:style>
  <w:style w:type="character" w:customStyle="1" w:styleId="FooterChar">
    <w:name w:val="Footer Char"/>
    <w:basedOn w:val="DefaultParagraphFont"/>
    <w:link w:val="Footer"/>
    <w:uiPriority w:val="99"/>
    <w:rsid w:val="00177867"/>
    <w:rPr>
      <w:lang w:eastAsia="en-US"/>
    </w:rPr>
  </w:style>
  <w:style w:type="character" w:customStyle="1" w:styleId="HeaderChar">
    <w:name w:val="Header Char"/>
    <w:basedOn w:val="DefaultParagraphFont"/>
    <w:link w:val="Header"/>
    <w:uiPriority w:val="99"/>
    <w:rsid w:val="007A75D0"/>
    <w:rPr>
      <w:lang w:eastAsia="en-US"/>
    </w:rPr>
  </w:style>
  <w:style w:type="paragraph" w:styleId="Revision">
    <w:name w:val="Revision"/>
    <w:hidden/>
    <w:uiPriority w:val="99"/>
    <w:semiHidden/>
    <w:rsid w:val="00BB692A"/>
    <w:rPr>
      <w:lang w:eastAsia="en-US"/>
    </w:rPr>
  </w:style>
  <w:style w:type="paragraph" w:styleId="NoSpacing">
    <w:name w:val="No Spacing"/>
    <w:link w:val="NoSpacingChar"/>
    <w:uiPriority w:val="1"/>
    <w:qFormat/>
    <w:rsid w:val="000C67C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C67CB"/>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uiPriority w:val="99"/>
    <w:semiHidden/>
    <w:unhideWhenUsed/>
    <w:rsid w:val="00ED5DA1"/>
    <w:rPr>
      <w:color w:val="800080" w:themeColor="followedHyperlink"/>
      <w:u w:val="single"/>
    </w:rPr>
  </w:style>
  <w:style w:type="table" w:styleId="TableGrid">
    <w:name w:val="Table Grid"/>
    <w:basedOn w:val="TableNormal"/>
    <w:uiPriority w:val="59"/>
    <w:rsid w:val="00ED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F5679"/>
    <w:pPr>
      <w:tabs>
        <w:tab w:val="clear" w:pos="720"/>
        <w:tab w:val="clear" w:pos="1440"/>
        <w:tab w:val="clear" w:pos="2160"/>
        <w:tab w:val="clear" w:pos="2880"/>
        <w:tab w:val="clear" w:pos="4680"/>
        <w:tab w:val="clear" w:pos="5400"/>
        <w:tab w:val="clear" w:pos="9000"/>
      </w:tabs>
      <w:spacing w:line="240" w:lineRule="auto"/>
      <w:jc w:val="left"/>
    </w:pPr>
    <w:rPr>
      <w:rFonts w:cs="Arial"/>
      <w:sz w:val="20"/>
    </w:rPr>
  </w:style>
  <w:style w:type="character" w:customStyle="1" w:styleId="EndnoteTextChar">
    <w:name w:val="Endnote Text Char"/>
    <w:basedOn w:val="DefaultParagraphFont"/>
    <w:link w:val="EndnoteText"/>
    <w:semiHidden/>
    <w:rsid w:val="00AF5679"/>
    <w:rPr>
      <w:rFonts w:cs="Arial"/>
      <w:sz w:val="20"/>
      <w:lang w:eastAsia="en-US"/>
    </w:rPr>
  </w:style>
  <w:style w:type="paragraph" w:styleId="PlainText">
    <w:name w:val="Plain Text"/>
    <w:basedOn w:val="Normal"/>
    <w:link w:val="PlainTextChar"/>
    <w:uiPriority w:val="99"/>
    <w:semiHidden/>
    <w:unhideWhenUsed/>
    <w:rsid w:val="002831CB"/>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2831CB"/>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108">
      <w:bodyDiv w:val="1"/>
      <w:marLeft w:val="0"/>
      <w:marRight w:val="0"/>
      <w:marTop w:val="0"/>
      <w:marBottom w:val="0"/>
      <w:divBdr>
        <w:top w:val="none" w:sz="0" w:space="0" w:color="auto"/>
        <w:left w:val="none" w:sz="0" w:space="0" w:color="auto"/>
        <w:bottom w:val="none" w:sz="0" w:space="0" w:color="auto"/>
        <w:right w:val="none" w:sz="0" w:space="0" w:color="auto"/>
      </w:divBdr>
    </w:div>
    <w:div w:id="190801976">
      <w:bodyDiv w:val="1"/>
      <w:marLeft w:val="0"/>
      <w:marRight w:val="0"/>
      <w:marTop w:val="0"/>
      <w:marBottom w:val="0"/>
      <w:divBdr>
        <w:top w:val="none" w:sz="0" w:space="0" w:color="auto"/>
        <w:left w:val="none" w:sz="0" w:space="0" w:color="auto"/>
        <w:bottom w:val="none" w:sz="0" w:space="0" w:color="auto"/>
        <w:right w:val="none" w:sz="0" w:space="0" w:color="auto"/>
      </w:divBdr>
    </w:div>
    <w:div w:id="724644007">
      <w:bodyDiv w:val="1"/>
      <w:marLeft w:val="0"/>
      <w:marRight w:val="0"/>
      <w:marTop w:val="0"/>
      <w:marBottom w:val="0"/>
      <w:divBdr>
        <w:top w:val="none" w:sz="0" w:space="0" w:color="auto"/>
        <w:left w:val="none" w:sz="0" w:space="0" w:color="auto"/>
        <w:bottom w:val="none" w:sz="0" w:space="0" w:color="auto"/>
        <w:right w:val="none" w:sz="0" w:space="0" w:color="auto"/>
      </w:divBdr>
    </w:div>
    <w:div w:id="725687741">
      <w:bodyDiv w:val="1"/>
      <w:marLeft w:val="0"/>
      <w:marRight w:val="0"/>
      <w:marTop w:val="0"/>
      <w:marBottom w:val="0"/>
      <w:divBdr>
        <w:top w:val="none" w:sz="0" w:space="0" w:color="auto"/>
        <w:left w:val="none" w:sz="0" w:space="0" w:color="auto"/>
        <w:bottom w:val="none" w:sz="0" w:space="0" w:color="auto"/>
        <w:right w:val="none" w:sz="0" w:space="0" w:color="auto"/>
      </w:divBdr>
    </w:div>
    <w:div w:id="730036649">
      <w:bodyDiv w:val="1"/>
      <w:marLeft w:val="0"/>
      <w:marRight w:val="0"/>
      <w:marTop w:val="0"/>
      <w:marBottom w:val="0"/>
      <w:divBdr>
        <w:top w:val="none" w:sz="0" w:space="0" w:color="auto"/>
        <w:left w:val="none" w:sz="0" w:space="0" w:color="auto"/>
        <w:bottom w:val="none" w:sz="0" w:space="0" w:color="auto"/>
        <w:right w:val="none" w:sz="0" w:space="0" w:color="auto"/>
      </w:divBdr>
    </w:div>
    <w:div w:id="1055592820">
      <w:bodyDiv w:val="1"/>
      <w:marLeft w:val="0"/>
      <w:marRight w:val="0"/>
      <w:marTop w:val="0"/>
      <w:marBottom w:val="0"/>
      <w:divBdr>
        <w:top w:val="none" w:sz="0" w:space="0" w:color="auto"/>
        <w:left w:val="none" w:sz="0" w:space="0" w:color="auto"/>
        <w:bottom w:val="none" w:sz="0" w:space="0" w:color="auto"/>
        <w:right w:val="none" w:sz="0" w:space="0" w:color="auto"/>
      </w:divBdr>
    </w:div>
    <w:div w:id="1069842291">
      <w:bodyDiv w:val="1"/>
      <w:marLeft w:val="0"/>
      <w:marRight w:val="0"/>
      <w:marTop w:val="0"/>
      <w:marBottom w:val="0"/>
      <w:divBdr>
        <w:top w:val="none" w:sz="0" w:space="0" w:color="auto"/>
        <w:left w:val="none" w:sz="0" w:space="0" w:color="auto"/>
        <w:bottom w:val="none" w:sz="0" w:space="0" w:color="auto"/>
        <w:right w:val="none" w:sz="0" w:space="0" w:color="auto"/>
      </w:divBdr>
    </w:div>
    <w:div w:id="1091396063">
      <w:bodyDiv w:val="1"/>
      <w:marLeft w:val="0"/>
      <w:marRight w:val="0"/>
      <w:marTop w:val="0"/>
      <w:marBottom w:val="0"/>
      <w:divBdr>
        <w:top w:val="none" w:sz="0" w:space="0" w:color="auto"/>
        <w:left w:val="none" w:sz="0" w:space="0" w:color="auto"/>
        <w:bottom w:val="none" w:sz="0" w:space="0" w:color="auto"/>
        <w:right w:val="none" w:sz="0" w:space="0" w:color="auto"/>
      </w:divBdr>
    </w:div>
    <w:div w:id="1157646951">
      <w:bodyDiv w:val="1"/>
      <w:marLeft w:val="0"/>
      <w:marRight w:val="0"/>
      <w:marTop w:val="0"/>
      <w:marBottom w:val="0"/>
      <w:divBdr>
        <w:top w:val="none" w:sz="0" w:space="0" w:color="auto"/>
        <w:left w:val="none" w:sz="0" w:space="0" w:color="auto"/>
        <w:bottom w:val="none" w:sz="0" w:space="0" w:color="auto"/>
        <w:right w:val="none" w:sz="0" w:space="0" w:color="auto"/>
      </w:divBdr>
    </w:div>
    <w:div w:id="1208102224">
      <w:bodyDiv w:val="1"/>
      <w:marLeft w:val="0"/>
      <w:marRight w:val="0"/>
      <w:marTop w:val="0"/>
      <w:marBottom w:val="0"/>
      <w:divBdr>
        <w:top w:val="none" w:sz="0" w:space="0" w:color="auto"/>
        <w:left w:val="none" w:sz="0" w:space="0" w:color="auto"/>
        <w:bottom w:val="none" w:sz="0" w:space="0" w:color="auto"/>
        <w:right w:val="none" w:sz="0" w:space="0" w:color="auto"/>
      </w:divBdr>
    </w:div>
    <w:div w:id="1268002565">
      <w:bodyDiv w:val="1"/>
      <w:marLeft w:val="0"/>
      <w:marRight w:val="0"/>
      <w:marTop w:val="0"/>
      <w:marBottom w:val="0"/>
      <w:divBdr>
        <w:top w:val="none" w:sz="0" w:space="0" w:color="auto"/>
        <w:left w:val="none" w:sz="0" w:space="0" w:color="auto"/>
        <w:bottom w:val="none" w:sz="0" w:space="0" w:color="auto"/>
        <w:right w:val="none" w:sz="0" w:space="0" w:color="auto"/>
      </w:divBdr>
    </w:div>
    <w:div w:id="1532262293">
      <w:bodyDiv w:val="1"/>
      <w:marLeft w:val="0"/>
      <w:marRight w:val="0"/>
      <w:marTop w:val="0"/>
      <w:marBottom w:val="0"/>
      <w:divBdr>
        <w:top w:val="none" w:sz="0" w:space="0" w:color="auto"/>
        <w:left w:val="none" w:sz="0" w:space="0" w:color="auto"/>
        <w:bottom w:val="none" w:sz="0" w:space="0" w:color="auto"/>
        <w:right w:val="none" w:sz="0" w:space="0" w:color="auto"/>
      </w:divBdr>
    </w:div>
    <w:div w:id="2045210764">
      <w:bodyDiv w:val="1"/>
      <w:marLeft w:val="0"/>
      <w:marRight w:val="0"/>
      <w:marTop w:val="0"/>
      <w:marBottom w:val="0"/>
      <w:divBdr>
        <w:top w:val="none" w:sz="0" w:space="0" w:color="auto"/>
        <w:left w:val="none" w:sz="0" w:space="0" w:color="auto"/>
        <w:bottom w:val="none" w:sz="0" w:space="0" w:color="auto"/>
        <w:right w:val="none" w:sz="0" w:space="0" w:color="auto"/>
      </w:divBdr>
    </w:div>
    <w:div w:id="2052337691">
      <w:bodyDiv w:val="1"/>
      <w:marLeft w:val="0"/>
      <w:marRight w:val="0"/>
      <w:marTop w:val="0"/>
      <w:marBottom w:val="0"/>
      <w:divBdr>
        <w:top w:val="none" w:sz="0" w:space="0" w:color="auto"/>
        <w:left w:val="none" w:sz="0" w:space="0" w:color="auto"/>
        <w:bottom w:val="none" w:sz="0" w:space="0" w:color="auto"/>
        <w:right w:val="none" w:sz="0" w:space="0" w:color="auto"/>
      </w:divBdr>
    </w:div>
    <w:div w:id="21373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fair-work-action-pla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irworkconvention.scot/the-fair-work-framework/" TargetMode="External"/><Relationship Id="rId17" Type="http://schemas.openxmlformats.org/officeDocument/2006/relationships/hyperlink" Target="mailto:office@veteransscotland.org.uk" TargetMode="External"/><Relationship Id="rId2" Type="http://schemas.openxmlformats.org/officeDocument/2006/relationships/customXml" Target="../customXml/item2.xml"/><Relationship Id="rId16" Type="http://schemas.openxmlformats.org/officeDocument/2006/relationships/hyperlink" Target="https://scvo.org.uk/running-your-organisation/staff-volunteers/safeguar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oscr.org.uk/guidance-and-forms/safeguarding-guidance-keeping-vulnerable-beneficiaries-safe/"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scot/binaries/content/documents/govscot/publications/advice-and-guidance/2018/07/fair-work-practices-in-procurement-toolkit/documents/information-sheets/0e815d45-79e2-4a26-a983-f3514a1351b7/0e815d45-79e2-4a26-a983-f3514a1351b7/govscot%3Adocument/2.%2BFair%2BWork%2B-%2BTookit%2B-%2BInformation%2BSheet%2B-%2BWhat%2Bis%2BFair%2B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A34004642</value>
    </field>
    <field name="Objective-Title">
      <value order="0">Scottish Veterans Fund - 2021-2020 - Grant Application Guidance - 22/23 comments</value>
    </field>
    <field name="Objective-Description">
      <value order="0"/>
    </field>
    <field name="Objective-CreationStamp">
      <value order="0">2021-04-14T14:11:50Z</value>
    </field>
    <field name="Objective-IsApproved">
      <value order="0">false</value>
    </field>
    <field name="Objective-IsPublished">
      <value order="0">true</value>
    </field>
    <field name="Objective-DatePublished">
      <value order="0">2021-09-21T15:10:07Z</value>
    </field>
    <field name="Objective-ModificationStamp">
      <value order="0">2021-09-21T15:10:07Z</value>
    </field>
    <field name="Objective-Owner">
      <value order="0">Forrester, Allyson A (U416862)</value>
    </field>
    <field name="Objective-Path">
      <value order="0">Objective Global Folder:SG File Plan:International affairs and defence:Defence:Defence policy:Advice and policy: Defence policy:Stakeholder Funding and Relations: Advice and Policy: 2019-2024</value>
    </field>
    <field name="Objective-Parent">
      <value order="0">Stakeholder Funding and Relations: Advice and Policy: 2019-2024</value>
    </field>
    <field name="Objective-State">
      <value order="0">Published</value>
    </field>
    <field name="Objective-VersionId">
      <value order="0">vA51023386</value>
    </field>
    <field name="Objective-Version">
      <value order="0">3.0</value>
    </field>
    <field name="Objective-VersionNumber">
      <value order="0">7</value>
    </field>
    <field name="Objective-VersionComment">
      <value order="0"/>
    </field>
    <field name="Objective-FileNumber">
      <value order="0">POL/30136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03F567F-6170-4EC7-872F-2531D525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11</Pages>
  <Words>3772</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scottish veterans fund</vt:lpstr>
    </vt:vector>
  </TitlesOfParts>
  <Company>Scottish Government</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veterans fund</dc:title>
  <dc:subject>Application Guidance for 2022/23 Fund</dc:subject>
  <dc:creator>u413997</dc:creator>
  <cp:lastModifiedBy>Dunn W (William)</cp:lastModifiedBy>
  <cp:revision>27</cp:revision>
  <cp:lastPrinted>2018-08-20T15:07:00Z</cp:lastPrinted>
  <dcterms:created xsi:type="dcterms:W3CDTF">2021-07-13T15:06:00Z</dcterms:created>
  <dcterms:modified xsi:type="dcterms:W3CDTF">2021-09-21T15:37:00Z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A34004642</vt:lpwstr>
  </property>
  <property fmtid="{D5CDD505-2E9C-101B-9397-08002B2CF9AE}" pid="4" name="Objective-Title">
    <vt:lpwstr>Scottish Veterans Fund - 2021-2020 - Grant Application Guidance - 22/23 comments</vt:lpwstr>
  </property>
  <property fmtid="{D5CDD505-2E9C-101B-9397-08002B2CF9AE}" pid="5" name="Objective-Description">
    <vt:lpwstr/>
  </property>
  <property fmtid="{D5CDD505-2E9C-101B-9397-08002B2CF9AE}" pid="6" name="Objective-CreationStamp">
    <vt:filetime>2021-04-14T14:11:50Z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2021-09-21T15:10:07Z</vt:filetime>
  </property>
  <property fmtid="{D5CDD505-2E9C-101B-9397-08002B2CF9AE}" pid="10" name="Objective-ModificationStamp">
    <vt:filetime>2021-09-21T15:10:07Z</vt:filetime>
  </property>
  <property fmtid="{D5CDD505-2E9C-101B-9397-08002B2CF9AE}" pid="11" name="Objective-Owner">
    <vt:lpwstr>Forrester, Allyson A (U416862)</vt:lpwstr>
  </property>
  <property fmtid="{D5CDD505-2E9C-101B-9397-08002B2CF9AE}" pid="12" name="Objective-Path">
    <vt:lpwstr>Objective Global Folder:SG File Plan:International affairs and defence:Defence:Defence policy:Advice and policy: Defence policy:Stakeholder Funding and Relations: Advice and Policy: 2019-2024</vt:lpwstr>
  </property>
  <property fmtid="{D5CDD505-2E9C-101B-9397-08002B2CF9AE}" pid="13" name="Objective-Parent">
    <vt:lpwstr>Stakeholder Funding and Relations: Advice and Policy: 2019-2024</vt:lpwstr>
  </property>
  <property fmtid="{D5CDD505-2E9C-101B-9397-08002B2CF9AE}" pid="14" name="Objective-State">
    <vt:lpwstr>Published</vt:lpwstr>
  </property>
  <property fmtid="{D5CDD505-2E9C-101B-9397-08002B2CF9AE}" pid="15" name="Objective-VersionId">
    <vt:lpwstr>vA51023386</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POL/30136</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